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4"/>
          <w:szCs w:val="24"/>
        </w:rPr>
        <w:t xml:space="preserve"> </w:t>
      </w:r>
    </w:p>
    <w:p>
      <w:pPr>
        <w:spacing w:after="80"/>
      </w:pPr>
      <w:r>
        <w:rPr>
          <w:b/>
          <w:bCs/>
          <w:color w:val="962538"/>
          <w:spacing w:val="60"/>
          <w:sz w:val="18"/>
          <w:szCs w:val="18"/>
        </w:rPr>
        <w:t xml:space="preserve">QUEENSLAND BLUE CARD COMPLIANCE</w:t>
      </w:r>
    </w:p>
    <w:p>
      <w:pPr>
        <w:spacing w:after="100"/>
      </w:pPr>
      <w:r>
        <w:rPr>
          <w:b/>
          <w:bCs/>
          <w:color w:val="0E2A20"/>
          <w:sz w:val="64"/>
          <w:szCs w:val="64"/>
        </w:rPr>
        <w:t xml:space="preserve">FastBowlersU</w:t>
      </w:r>
    </w:p>
    <w:p>
      <w:pPr>
        <w:spacing w:after="80"/>
      </w:pPr>
      <w:r>
        <w:rPr>
          <w:color w:val="1A1A1A"/>
          <w:sz w:val="40"/>
          <w:szCs w:val="40"/>
        </w:rPr>
        <w:t xml:space="preserve">Child and Youth Risk Management Strategy</w:t>
      </w:r>
    </w:p>
    <w:p>
      <w:pPr>
        <w:spacing w:after="320"/>
      </w:pPr>
      <w:r>
        <w:rPr>
          <w:i/>
          <w:iCs/>
          <w:color w:val="6B5E47"/>
          <w:sz w:val="26"/>
          <w:szCs w:val="26"/>
        </w:rPr>
        <w:t xml:space="preserve">Pace · Precision · Performance · Safety</w:t>
      </w:r>
    </w:p>
    <w:p>
      <w:pPr>
        <w:pBdr>
          <w:bottom w:val="single" w:color="F2A640" w:sz="12" w:space="8"/>
        </w:pBdr>
        <w:spacing w:after="200"/>
      </w:pPr>
      <w:r>
        <w:rPr>
          <w:sz w:val="8"/>
          <w:szCs w:val="8"/>
        </w:rPr>
        <w:t xml:space="preserve"> </w:t>
      </w:r>
    </w:p>
    <w:p>
      <w:pPr>
        <w:spacing w:after="80"/>
      </w:pPr>
      <w:r>
        <w:rPr>
          <w:b/>
          <w:bCs/>
          <w:color w:val="6B5E47"/>
          <w:spacing w:val="40"/>
          <w:sz w:val="18"/>
          <w:szCs w:val="18"/>
        </w:rPr>
        <w:t xml:space="preserve">Issued by</w:t>
      </w:r>
    </w:p>
    <w:p>
      <w:pPr>
        <w:spacing w:after="40"/>
      </w:pPr>
      <w:r>
        <w:rPr>
          <w:b/>
          <w:bCs/>
          <w:color w:val="0E2A20"/>
          <w:sz w:val="28"/>
          <w:szCs w:val="28"/>
        </w:rPr>
        <w:t xml:space="preserve">Joseph Dawes Pty Ltd</w:t>
      </w:r>
    </w:p>
    <w:p>
      <w:pPr>
        <w:spacing w:after="120"/>
      </w:pPr>
      <w:r>
        <w:rPr>
          <w:color w:val="1A1A1A"/>
          <w:sz w:val="22"/>
          <w:szCs w:val="22"/>
        </w:rPr>
        <w:t xml:space="preserve">trading as FastBowlersU</w:t>
      </w:r>
    </w:p>
    <w:p>
      <w:pPr>
        <w:spacing w:after="40"/>
      </w:pPr>
      <w:r>
        <w:rPr>
          <w:sz w:val="22"/>
          <w:szCs w:val="22"/>
        </w:rPr>
        <w:t xml:space="preserve">PO Box 2040, Chermside Queensland 4032</w:t>
      </w:r>
    </w:p>
    <w:p>
      <w:pPr>
        <w:spacing w:after="40"/>
      </w:pPr>
      <w:r>
        <w:rPr>
          <w:sz w:val="22"/>
          <w:szCs w:val="22"/>
        </w:rPr>
        <w:t xml:space="preserve">Phone: +61 403 368 575</w:t>
      </w:r>
    </w:p>
    <w:p>
      <w:pPr>
        <w:spacing w:after="40"/>
      </w:pPr>
      <w:r>
        <w:rPr>
          <w:sz w:val="22"/>
          <w:szCs w:val="22"/>
        </w:rPr>
        <w:t xml:space="preserve">Email: coaching@fastbowlersu.au</w:t>
      </w:r>
    </w:p>
    <w:p>
      <w:pPr>
        <w:spacing w:after="200"/>
      </w:pPr>
      <w:r>
        <w:rPr>
          <w:sz w:val="22"/>
          <w:szCs w:val="22"/>
        </w:rPr>
        <w:t xml:space="preserve">Web: www.fastbowlersu.au</w:t>
      </w:r>
    </w:p>
    <w:p>
      <w:pPr>
        <w:spacing w:after="40"/>
      </w:pPr>
      <w:r>
        <w:rPr>
          <w:b/>
          <w:bCs/>
          <w:sz w:val="22"/>
          <w:szCs w:val="22"/>
        </w:rPr>
        <w:t xml:space="preserve">Head Coach &amp; Owner: Joe Dawes</w:t>
      </w:r>
    </w:p>
    <w:p>
      <w:pPr>
        <w:spacing w:after="120" w:line="320"/>
      </w:pPr>
      <w:r>
        <w:rPr>
          <w:b/>
          <w:bCs/>
        </w:rPr>
        <w:t xml:space="preserve">Blue Card details: </w:t>
      </w:r>
      <w:r>
        <w:t xml:space="preserve">On file with the FBU Bulls Masters player register and provided on request to host schools and clubs. Renewal monitored 30 days prior to expiry by the FBU compliance register.</w:t>
      </w:r>
    </w:p>
    <w:p>
      <w:r>
        <w:t xml:space="preserve"> </w:t>
      </w:r>
    </w:p>
    <w:p>
      <w:r>
        <w:rPr>
          <w:i/>
          <w:iCs/>
          <w:color w:val="6B5E47"/>
          <w:sz w:val="18"/>
          <w:szCs w:val="18"/>
        </w:rPr>
        <w:t xml:space="preserve">Version 1.0 · Effective 26 June 2026 · Next scheduled review June 2027</w:t>
      </w:r>
    </w:p>
    <w:p>
      <w:r>
        <w:br w:type="page"/>
      </w:r>
    </w:p>
    <w:p>
      <w:pPr>
        <w:pStyle w:val="Heading1"/>
        <w:spacing w:after="200" w:before="360"/>
      </w:pPr>
      <w:r>
        <w:rPr>
          <w:b/>
          <w:bCs/>
        </w:rPr>
        <w:t xml:space="preserve">1. Statement of commitment</w:t>
      </w:r>
    </w:p>
    <w:p>
      <w:pPr>
        <w:spacing w:after="120" w:line="320"/>
      </w:pPr>
      <w:r>
        <w:t xml:space="preserve">FastBowlersU is committed to the safety, wellbeing and protection of every child and young person who participates in our coaching, events, assessments and pathway programs. We are a child-safe business. We treat children with respect, listen to their voices, and create environments where they can learn, develop and thrive.</w:t>
      </w:r>
    </w:p>
    <w:p>
      <w:pPr>
        <w:spacing w:after="120" w:line="320"/>
      </w:pPr>
      <w:r>
        <w:t xml:space="preserve">In order to ensure children and young people are kept safe from harm, FastBowlersU and every person delivering its services will conduct activities in accordance with the risk-management strategy set out in this document.</w:t>
      </w:r>
    </w:p>
    <w:p>
      <w:pPr>
        <w:spacing w:after="120" w:line="320"/>
      </w:pPr>
      <w:r>
        <w:t xml:space="preserve">Specifically, we will:</w:t>
      </w:r>
    </w:p>
    <w:p>
      <w:pPr>
        <w:pStyle w:val="ListParagraph"/>
        <w:numPr>
          <w:ilvl w:val="0"/>
          <w:numId w:val="2"/>
        </w:numPr>
        <w:spacing w:after="60"/>
      </w:pPr>
      <w:r>
        <w:t xml:space="preserve">Be unaffected by alcohol, drugs or any substance that may compromise the appropriate supervision of children at all times during the delivery of FBU activities.</w:t>
      </w:r>
    </w:p>
    <w:p>
      <w:pPr>
        <w:pStyle w:val="ListParagraph"/>
        <w:numPr>
          <w:ilvl w:val="0"/>
          <w:numId w:val="2"/>
        </w:numPr>
        <w:spacing w:after="60"/>
      </w:pPr>
      <w:r>
        <w:t xml:space="preserve">Obtain explicit, recorded consent from a parent or guardian before photographing, filming or sharing any image of a child.</w:t>
      </w:r>
    </w:p>
    <w:p>
      <w:pPr>
        <w:pStyle w:val="ListParagraph"/>
        <w:numPr>
          <w:ilvl w:val="0"/>
          <w:numId w:val="2"/>
        </w:numPr>
        <w:spacing w:after="60"/>
      </w:pPr>
      <w:r>
        <w:t xml:space="preserve">Obtain consent from a parent or guardian before communicating directly with any child by phone, text, email, WhatsApp or any other channel.</w:t>
      </w:r>
    </w:p>
    <w:p>
      <w:pPr>
        <w:pStyle w:val="ListParagraph"/>
        <w:numPr>
          <w:ilvl w:val="0"/>
          <w:numId w:val="2"/>
        </w:numPr>
        <w:spacing w:after="60"/>
      </w:pPr>
      <w:r>
        <w:t xml:space="preserve">Not tolerate bullying or harassment by anyone, including children, parents, sponsors, or coaching staff.</w:t>
      </w:r>
    </w:p>
    <w:p>
      <w:pPr>
        <w:pStyle w:val="ListParagraph"/>
        <w:numPr>
          <w:ilvl w:val="0"/>
          <w:numId w:val="2"/>
        </w:numPr>
        <w:spacing w:after="60"/>
      </w:pPr>
      <w:r>
        <w:t xml:space="preserve">Ensure that no visitors or outsiders have unsupervised contact with children during FBU activities.</w:t>
      </w:r>
    </w:p>
    <w:p>
      <w:pPr>
        <w:pStyle w:val="ListParagraph"/>
        <w:numPr>
          <w:ilvl w:val="0"/>
          <w:numId w:val="2"/>
        </w:numPr>
        <w:spacing w:after="60"/>
      </w:pPr>
      <w:r>
        <w:t xml:space="preserve">Notify parents and guardians promptly if FBU is unable to provide a scheduled service.</w:t>
      </w:r>
    </w:p>
    <w:p>
      <w:pPr>
        <w:pStyle w:val="ListParagraph"/>
        <w:numPr>
          <w:ilvl w:val="0"/>
          <w:numId w:val="2"/>
        </w:numPr>
        <w:spacing w:after="60"/>
      </w:pPr>
      <w:r>
        <w:t xml:space="preserve">Maintain current and valid blue cards for every adult who interacts with children at FBU events.</w:t>
      </w:r>
    </w:p>
    <w:p>
      <w:pPr>
        <w:pStyle w:val="ListParagraph"/>
        <w:numPr>
          <w:ilvl w:val="0"/>
          <w:numId w:val="2"/>
        </w:numPr>
        <w:spacing w:after="60"/>
      </w:pPr>
      <w:r>
        <w:t xml:space="preserve">Operate within a written child-safety risk register, reviewed annually.</w:t>
      </w:r>
    </w:p>
    <w:p>
      <w:r>
        <w:br w:type="page"/>
      </w:r>
    </w:p>
    <w:p>
      <w:pPr>
        <w:pStyle w:val="Heading1"/>
        <w:spacing w:after="200" w:before="360"/>
      </w:pPr>
      <w:r>
        <w:rPr>
          <w:b/>
          <w:bCs/>
        </w:rPr>
        <w:t xml:space="preserve">2. Code of conduct for interacting with children and young people</w:t>
      </w:r>
    </w:p>
    <w:p>
      <w:pPr>
        <w:pStyle w:val="Heading2"/>
        <w:spacing w:after="140" w:before="280"/>
      </w:pPr>
      <w:r>
        <w:rPr>
          <w:b/>
          <w:bCs/>
        </w:rPr>
        <w:t xml:space="preserve">FastBowlersU coaches and contractors will</w:t>
      </w:r>
    </w:p>
    <w:p>
      <w:pPr>
        <w:pStyle w:val="ListParagraph"/>
        <w:numPr>
          <w:ilvl w:val="0"/>
          <w:numId w:val="2"/>
        </w:numPr>
        <w:spacing w:after="60"/>
      </w:pPr>
      <w:r>
        <w:t xml:space="preserve">Foster mutual respect with every child regardless of cultural identity, gender, ability or background.</w:t>
      </w:r>
    </w:p>
    <w:p>
      <w:pPr>
        <w:pStyle w:val="ListParagraph"/>
        <w:numPr>
          <w:ilvl w:val="0"/>
          <w:numId w:val="2"/>
        </w:numPr>
        <w:spacing w:after="60"/>
      </w:pPr>
      <w:r>
        <w:t xml:space="preserve">Understand the developmental stage, special circumstances and special needs of each child.</w:t>
      </w:r>
    </w:p>
    <w:p>
      <w:pPr>
        <w:pStyle w:val="ListParagraph"/>
        <w:numPr>
          <w:ilvl w:val="0"/>
          <w:numId w:val="2"/>
        </w:numPr>
        <w:spacing w:after="60"/>
      </w:pPr>
      <w:r>
        <w:t xml:space="preserve">Use language which is age-appropriate, clear, non-threatening and never sexual or shaming.</w:t>
      </w:r>
    </w:p>
    <w:p>
      <w:pPr>
        <w:pStyle w:val="ListParagraph"/>
        <w:numPr>
          <w:ilvl w:val="0"/>
          <w:numId w:val="2"/>
        </w:numPr>
        <w:spacing w:after="60"/>
      </w:pPr>
      <w:r>
        <w:t xml:space="preserve">Use physical contact (e.g. demonstrating a grip, an action correction, applying first-aid) only where it is necessary for safe and effective coaching, and only with explicit permission from the child and prior consent from the parent or guardian. Physical contact is brief, in the open, and never private.</w:t>
      </w:r>
    </w:p>
    <w:p>
      <w:pPr>
        <w:pStyle w:val="ListParagraph"/>
        <w:numPr>
          <w:ilvl w:val="0"/>
          <w:numId w:val="2"/>
        </w:numPr>
        <w:spacing w:after="60"/>
      </w:pPr>
      <w:r>
        <w:t xml:space="preserve">Listen to the child or young person's concerns and questions and respond honestly.</w:t>
      </w:r>
    </w:p>
    <w:p>
      <w:pPr>
        <w:pStyle w:val="ListParagraph"/>
        <w:numPr>
          <w:ilvl w:val="0"/>
          <w:numId w:val="2"/>
        </w:numPr>
        <w:spacing w:after="60"/>
      </w:pPr>
      <w:r>
        <w:t xml:space="preserve">Use a variety of methods to motivate children, focused on effort and growth rather than fear or shame.</w:t>
      </w:r>
    </w:p>
    <w:p>
      <w:pPr>
        <w:pStyle w:val="ListParagraph"/>
        <w:numPr>
          <w:ilvl w:val="0"/>
          <w:numId w:val="2"/>
        </w:numPr>
        <w:spacing w:after="60"/>
      </w:pPr>
      <w:r>
        <w:t xml:space="preserve">Listen to parent/guardian suggestions, feedback and complaints.</w:t>
      </w:r>
    </w:p>
    <w:p>
      <w:pPr>
        <w:pStyle w:val="ListParagraph"/>
        <w:numPr>
          <w:ilvl w:val="0"/>
          <w:numId w:val="2"/>
        </w:numPr>
        <w:spacing w:after="60"/>
      </w:pPr>
      <w:r>
        <w:t xml:space="preserve">Use corrective practices which are constructive — never punitive, humiliating or aggressive.</w:t>
      </w:r>
    </w:p>
    <w:p>
      <w:pPr>
        <w:pStyle w:val="ListParagraph"/>
        <w:numPr>
          <w:ilvl w:val="0"/>
          <w:numId w:val="2"/>
        </w:numPr>
        <w:spacing w:after="60"/>
      </w:pPr>
      <w:r>
        <w:t xml:space="preserve">Avoid one-on-one situations with a child where another adult cannot reasonably observe (i.e. assessments, video sessions and individual coaching are conducted in open view of other coaches or parents).</w:t>
      </w:r>
    </w:p>
    <w:p>
      <w:pPr>
        <w:pStyle w:val="ListParagraph"/>
        <w:numPr>
          <w:ilvl w:val="0"/>
          <w:numId w:val="2"/>
        </w:numPr>
        <w:spacing w:after="60"/>
      </w:pPr>
      <w:r>
        <w:t xml:space="preserve">Refrain from giving gifts, money or special favours to individual children outside the structure of an FBU program.</w:t>
      </w:r>
    </w:p>
    <w:p>
      <w:pPr>
        <w:pStyle w:val="Heading2"/>
        <w:spacing w:after="140" w:before="280"/>
      </w:pPr>
      <w:r>
        <w:rPr>
          <w:b/>
          <w:bCs/>
        </w:rPr>
        <w:t xml:space="preserve">Children attending FastBowlersU programs are expected to demonstrate</w:t>
      </w:r>
    </w:p>
    <w:p>
      <w:pPr>
        <w:pStyle w:val="ListParagraph"/>
        <w:numPr>
          <w:ilvl w:val="0"/>
          <w:numId w:val="2"/>
        </w:numPr>
        <w:spacing w:after="60"/>
      </w:pPr>
      <w:r>
        <w:t xml:space="preserve">A willingness to learn and develop.</w:t>
      </w:r>
    </w:p>
    <w:p>
      <w:pPr>
        <w:pStyle w:val="ListParagraph"/>
        <w:numPr>
          <w:ilvl w:val="0"/>
          <w:numId w:val="2"/>
        </w:numPr>
        <w:spacing w:after="60"/>
      </w:pPr>
      <w:r>
        <w:t xml:space="preserve">A willingness to listen to coaches and follow safety instructions.</w:t>
      </w:r>
    </w:p>
    <w:p>
      <w:pPr>
        <w:pStyle w:val="ListParagraph"/>
        <w:numPr>
          <w:ilvl w:val="0"/>
          <w:numId w:val="2"/>
        </w:numPr>
        <w:spacing w:after="60"/>
      </w:pPr>
      <w:r>
        <w:t xml:space="preserve">Respect for other children, parents, coaches and host venue staff.</w:t>
      </w:r>
    </w:p>
    <w:p>
      <w:pPr>
        <w:pStyle w:val="ListParagraph"/>
        <w:numPr>
          <w:ilvl w:val="0"/>
          <w:numId w:val="2"/>
        </w:numPr>
        <w:spacing w:after="60"/>
      </w:pPr>
      <w:r>
        <w:t xml:space="preserve">Safe and responsible behaviour at all times — particularly around equipment (balls, bats, bowling machines, weights).</w:t>
      </w:r>
    </w:p>
    <w:p>
      <w:pPr>
        <w:pStyle w:val="ListParagraph"/>
        <w:numPr>
          <w:ilvl w:val="0"/>
          <w:numId w:val="2"/>
        </w:numPr>
        <w:spacing w:after="60"/>
      </w:pPr>
      <w:r>
        <w:t xml:space="preserve">Responsibility in reporting inappropriate behaviour, unsafe situations or any concern about another person to a coach or trusted adult.</w:t>
      </w:r>
    </w:p>
    <w:p>
      <w:pPr>
        <w:pStyle w:val="Heading2"/>
        <w:spacing w:after="140" w:before="280"/>
      </w:pPr>
      <w:r>
        <w:rPr>
          <w:b/>
          <w:bCs/>
        </w:rPr>
        <w:t xml:space="preserve">Parents and caregivers</w:t>
      </w:r>
    </w:p>
    <w:p>
      <w:pPr>
        <w:spacing w:after="120" w:line="320"/>
      </w:pPr>
      <w:r>
        <w:t xml:space="preserve">Parents and caregivers should:</w:t>
      </w:r>
    </w:p>
    <w:p>
      <w:pPr>
        <w:pStyle w:val="ListParagraph"/>
        <w:numPr>
          <w:ilvl w:val="0"/>
          <w:numId w:val="2"/>
        </w:numPr>
        <w:spacing w:after="60"/>
      </w:pPr>
      <w:r>
        <w:t xml:space="preserve">Feel welcome to stay and observe FastBowlersU sessions and events.</w:t>
      </w:r>
    </w:p>
    <w:p>
      <w:pPr>
        <w:pStyle w:val="ListParagraph"/>
        <w:numPr>
          <w:ilvl w:val="0"/>
          <w:numId w:val="2"/>
        </w:numPr>
        <w:spacing w:after="60"/>
      </w:pPr>
      <w:r>
        <w:t xml:space="preserve">Raise any issues or concerns directly with the coach or with the head coach.</w:t>
      </w:r>
    </w:p>
    <w:p>
      <w:pPr>
        <w:pStyle w:val="ListParagraph"/>
        <w:numPr>
          <w:ilvl w:val="0"/>
          <w:numId w:val="2"/>
        </w:numPr>
        <w:spacing w:after="60"/>
      </w:pPr>
      <w:r>
        <w:t xml:space="preserve">Drop off and pick up children punctually.</w:t>
      </w:r>
    </w:p>
    <w:p>
      <w:pPr>
        <w:pStyle w:val="ListParagraph"/>
        <w:numPr>
          <w:ilvl w:val="0"/>
          <w:numId w:val="2"/>
        </w:numPr>
        <w:spacing w:after="60"/>
      </w:pPr>
      <w:r>
        <w:t xml:space="preserve">Provide the necessary equipment requested for sessions (kit, water, etc.).</w:t>
      </w:r>
    </w:p>
    <w:p>
      <w:pPr>
        <w:pStyle w:val="ListParagraph"/>
        <w:numPr>
          <w:ilvl w:val="0"/>
          <w:numId w:val="2"/>
        </w:numPr>
        <w:spacing w:after="60"/>
      </w:pPr>
      <w:r>
        <w:t xml:space="preserve">Alert us early to any matter that may affect their child's participation (injury, medication change, family disruption).</w:t>
      </w:r>
    </w:p>
    <w:p>
      <w:pPr>
        <w:pStyle w:val="ListParagraph"/>
        <w:numPr>
          <w:ilvl w:val="0"/>
          <w:numId w:val="2"/>
        </w:numPr>
        <w:spacing w:after="60"/>
      </w:pPr>
      <w:r>
        <w:t xml:space="preserve">Give constructive feedback on FBU policies and procedures.</w:t>
      </w:r>
    </w:p>
    <w:p>
      <w:pPr>
        <w:pStyle w:val="ListParagraph"/>
        <w:numPr>
          <w:ilvl w:val="0"/>
          <w:numId w:val="2"/>
        </w:numPr>
        <w:spacing w:after="60"/>
      </w:pPr>
      <w:r>
        <w:t xml:space="preserve">Be aware that any personal information shared will be handled in line with the FBU Privacy Policy.</w:t>
      </w:r>
    </w:p>
    <w:p>
      <w:pPr>
        <w:spacing w:after="120" w:line="320"/>
      </w:pPr>
      <w:r>
        <w:t xml:space="preserve">Parents and caregivers have the right to:</w:t>
      </w:r>
    </w:p>
    <w:p>
      <w:pPr>
        <w:pStyle w:val="ListParagraph"/>
        <w:numPr>
          <w:ilvl w:val="0"/>
          <w:numId w:val="2"/>
        </w:numPr>
        <w:spacing w:after="60"/>
      </w:pPr>
      <w:r>
        <w:t xml:space="preserve">Receive regular feedback on their child's progress.</w:t>
      </w:r>
    </w:p>
    <w:p>
      <w:pPr>
        <w:pStyle w:val="ListParagraph"/>
        <w:numPr>
          <w:ilvl w:val="0"/>
          <w:numId w:val="2"/>
        </w:numPr>
        <w:spacing w:after="60"/>
      </w:pPr>
      <w:r>
        <w:t xml:space="preserve">Ask questions or raise concerns about FBU's activities or their child's progress.</w:t>
      </w:r>
    </w:p>
    <w:p>
      <w:pPr>
        <w:pStyle w:val="ListParagraph"/>
        <w:numPr>
          <w:ilvl w:val="0"/>
          <w:numId w:val="2"/>
        </w:numPr>
        <w:spacing w:after="60"/>
      </w:pPr>
      <w:r>
        <w:t xml:space="preserve">Make complaints in line with the procedures in Section 5 below.</w:t>
      </w:r>
    </w:p>
    <w:p>
      <w:pPr>
        <w:pStyle w:val="ListParagraph"/>
        <w:numPr>
          <w:ilvl w:val="0"/>
          <w:numId w:val="2"/>
        </w:numPr>
        <w:spacing w:after="60"/>
      </w:pPr>
      <w:r>
        <w:t xml:space="preserve">Stay and observe FBU activities involving their child.</w:t>
      </w:r>
    </w:p>
    <w:p>
      <w:pPr>
        <w:pStyle w:val="Heading2"/>
        <w:spacing w:after="140" w:before="280"/>
      </w:pPr>
      <w:r>
        <w:rPr>
          <w:b/>
          <w:bCs/>
        </w:rPr>
        <w:t xml:space="preserve">Children's rights</w:t>
      </w:r>
    </w:p>
    <w:p>
      <w:pPr>
        <w:spacing w:after="120" w:line="320"/>
      </w:pPr>
      <w:r>
        <w:t xml:space="preserve">Children and young people have the right to:</w:t>
      </w:r>
    </w:p>
    <w:p>
      <w:pPr>
        <w:pStyle w:val="ListParagraph"/>
        <w:numPr>
          <w:ilvl w:val="0"/>
          <w:numId w:val="2"/>
        </w:numPr>
        <w:spacing w:after="60"/>
      </w:pPr>
      <w:r>
        <w:t xml:space="preserve">Feel safe.</w:t>
      </w:r>
    </w:p>
    <w:p>
      <w:pPr>
        <w:pStyle w:val="ListParagraph"/>
        <w:numPr>
          <w:ilvl w:val="0"/>
          <w:numId w:val="2"/>
        </w:numPr>
        <w:spacing w:after="60"/>
      </w:pPr>
      <w:r>
        <w:t xml:space="preserve">Be listened to.</w:t>
      </w:r>
    </w:p>
    <w:p>
      <w:pPr>
        <w:pStyle w:val="ListParagraph"/>
        <w:numPr>
          <w:ilvl w:val="0"/>
          <w:numId w:val="2"/>
        </w:numPr>
        <w:spacing w:after="60"/>
      </w:pPr>
      <w:r>
        <w:t xml:space="preserve">Be involved in decisions that affect them.</w:t>
      </w:r>
    </w:p>
    <w:p>
      <w:pPr>
        <w:pStyle w:val="ListParagraph"/>
        <w:numPr>
          <w:ilvl w:val="0"/>
          <w:numId w:val="2"/>
        </w:numPr>
        <w:spacing w:after="60"/>
      </w:pPr>
      <w:r>
        <w:t xml:space="preserve">Have their cultural values respected.</w:t>
      </w:r>
    </w:p>
    <w:p>
      <w:pPr>
        <w:pStyle w:val="ListParagraph"/>
        <w:numPr>
          <w:ilvl w:val="0"/>
          <w:numId w:val="2"/>
        </w:numPr>
        <w:spacing w:after="60"/>
      </w:pPr>
      <w:r>
        <w:t xml:space="preserve">Have their best interests considered.</w:t>
      </w:r>
    </w:p>
    <w:p>
      <w:pPr>
        <w:pStyle w:val="ListParagraph"/>
        <w:numPr>
          <w:ilvl w:val="0"/>
          <w:numId w:val="2"/>
        </w:numPr>
        <w:spacing w:after="60"/>
      </w:pPr>
      <w:r>
        <w:t xml:space="preserve">Be respected and understood.</w:t>
      </w:r>
    </w:p>
    <w:p>
      <w:pPr>
        <w:pStyle w:val="ListParagraph"/>
        <w:numPr>
          <w:ilvl w:val="0"/>
          <w:numId w:val="2"/>
        </w:numPr>
        <w:spacing w:after="60"/>
      </w:pPr>
      <w:r>
        <w:t xml:space="preserve">Be free from harassment, bullying or abuse of any kind.</w:t>
      </w:r>
    </w:p>
    <w:p>
      <w:pPr>
        <w:pStyle w:val="ListParagraph"/>
        <w:numPr>
          <w:ilvl w:val="0"/>
          <w:numId w:val="2"/>
        </w:numPr>
        <w:spacing w:after="60"/>
      </w:pPr>
      <w:r>
        <w:t xml:space="preserve">Ask if they don't understand.</w:t>
      </w:r>
    </w:p>
    <w:p>
      <w:pPr>
        <w:pStyle w:val="Heading2"/>
        <w:spacing w:after="140" w:before="280"/>
      </w:pPr>
      <w:r>
        <w:rPr>
          <w:b/>
          <w:bCs/>
        </w:rPr>
        <w:t xml:space="preserve">FastBowlersU reserves the right to</w:t>
      </w:r>
    </w:p>
    <w:p>
      <w:pPr>
        <w:pStyle w:val="ListParagraph"/>
        <w:numPr>
          <w:ilvl w:val="0"/>
          <w:numId w:val="2"/>
        </w:numPr>
        <w:spacing w:after="60"/>
      </w:pPr>
      <w:r>
        <w:t xml:space="preserve">Cease activities with any child who is consistently noncompliant or unsafe, with immediate notification to the parent or guardian.</w:t>
      </w:r>
    </w:p>
    <w:p>
      <w:pPr>
        <w:pStyle w:val="ListParagraph"/>
        <w:numPr>
          <w:ilvl w:val="0"/>
          <w:numId w:val="2"/>
        </w:numPr>
        <w:spacing w:after="60"/>
      </w:pPr>
      <w:r>
        <w:t xml:space="preserve">Raise concerns with the child and parent/guardian when needed.</w:t>
      </w:r>
    </w:p>
    <w:p>
      <w:pPr>
        <w:pStyle w:val="ListParagraph"/>
        <w:numPr>
          <w:ilvl w:val="0"/>
          <w:numId w:val="2"/>
        </w:numPr>
        <w:spacing w:after="60"/>
      </w:pPr>
      <w:r>
        <w:t xml:space="preserve">Expect concerns to be raised promptly so they can be addressed early.</w:t>
      </w:r>
    </w:p>
    <w:p>
      <w:pPr>
        <w:pStyle w:val="ListParagraph"/>
        <w:numPr>
          <w:ilvl w:val="0"/>
          <w:numId w:val="2"/>
        </w:numPr>
        <w:spacing w:after="60"/>
      </w:pPr>
      <w:r>
        <w:t xml:space="preserve">Allow only a parent, guardian or nominated person to collect a child at the end of an FBU activity.</w:t>
      </w:r>
    </w:p>
    <w:p>
      <w:pPr>
        <w:pStyle w:val="ListParagraph"/>
        <w:numPr>
          <w:ilvl w:val="0"/>
          <w:numId w:val="2"/>
        </w:numPr>
        <w:spacing w:after="60"/>
      </w:pPr>
      <w:r>
        <w:t xml:space="preserve">Report disclosures and suspicions of harm in line with Section 4 below.</w:t>
      </w:r>
    </w:p>
    <w:p>
      <w:r>
        <w:br w:type="page"/>
      </w:r>
    </w:p>
    <w:p>
      <w:pPr>
        <w:pStyle w:val="Heading1"/>
        <w:spacing w:after="200" w:before="360"/>
      </w:pPr>
      <w:r>
        <w:rPr>
          <w:b/>
          <w:bCs/>
        </w:rPr>
        <w:t xml:space="preserve">3. Recruitment, training and management of FBU coaches and contractors</w:t>
      </w:r>
    </w:p>
    <w:p>
      <w:pPr>
        <w:pStyle w:val="Heading2"/>
        <w:spacing w:after="140" w:before="280"/>
      </w:pPr>
      <w:r>
        <w:rPr>
          <w:b/>
          <w:bCs/>
        </w:rPr>
        <w:t xml:space="preserve">Multi-coach business model</w:t>
      </w:r>
    </w:p>
    <w:p>
      <w:pPr>
        <w:spacing w:after="120" w:line="320"/>
      </w:pPr>
      <w:r>
        <w:t xml:space="preserve">FastBowlersU is led by Joe Dawes (head coach and owner). The coaching team includes Nathan Reardon (head batting coach) and a roster of supporting coaches engaged for Roadshow stops, Super Clinics and Academy delivery. FBU is responsible for the conduct of every coach and contractor delivering an FBU activity.</w:t>
      </w:r>
    </w:p>
    <w:p>
      <w:pPr>
        <w:pStyle w:val="Heading2"/>
        <w:spacing w:after="140" w:before="280"/>
      </w:pPr>
      <w:r>
        <w:rPr>
          <w:b/>
          <w:bCs/>
        </w:rPr>
        <w:t xml:space="preserve">Pre-engagement screening</w:t>
      </w:r>
    </w:p>
    <w:p>
      <w:pPr>
        <w:pStyle w:val="ListParagraph"/>
        <w:numPr>
          <w:ilvl w:val="0"/>
          <w:numId w:val="2"/>
        </w:numPr>
        <w:spacing w:after="60"/>
      </w:pPr>
      <w:r>
        <w:t xml:space="preserve">Every coach or contractor working with children at an FBU activity must hold a current Queensland Blue Card (Working with Children Check). Coaches must not commence work with children until their card has been sighted and recorded.</w:t>
      </w:r>
    </w:p>
    <w:p>
      <w:pPr>
        <w:pStyle w:val="ListParagraph"/>
        <w:numPr>
          <w:ilvl w:val="0"/>
          <w:numId w:val="2"/>
        </w:numPr>
        <w:spacing w:after="60"/>
      </w:pPr>
      <w:r>
        <w:t xml:space="preserve">Blue card numbers and expiry dates are recorded in the FBU portal coach profile and reviewed in line with the Privacy Policy and Data Retention Schedule.</w:t>
      </w:r>
    </w:p>
    <w:p>
      <w:pPr>
        <w:pStyle w:val="ListParagraph"/>
        <w:numPr>
          <w:ilvl w:val="0"/>
          <w:numId w:val="2"/>
        </w:numPr>
        <w:spacing w:after="60"/>
      </w:pPr>
      <w:r>
        <w:t xml:space="preserve">FBU sights and records each coach's first-aid + CPR certification, driver's licence, and Cricket Australia accreditation.</w:t>
      </w:r>
    </w:p>
    <w:p>
      <w:pPr>
        <w:pStyle w:val="ListParagraph"/>
        <w:numPr>
          <w:ilvl w:val="0"/>
          <w:numId w:val="2"/>
        </w:numPr>
        <w:spacing w:after="60"/>
      </w:pPr>
      <w:r>
        <w:t xml:space="preserve">Each coach signs the FBU coach code of conduct (this document plus the FBU Coach Playbook) before delivering any activity to children.</w:t>
      </w:r>
    </w:p>
    <w:p>
      <w:pPr>
        <w:pStyle w:val="ListParagraph"/>
        <w:numPr>
          <w:ilvl w:val="0"/>
          <w:numId w:val="2"/>
        </w:numPr>
        <w:spacing w:after="60"/>
      </w:pPr>
      <w:r>
        <w:t xml:space="preserve">Where a school, club or host requires additional onboarding (e.g. site induction, child-safety briefing, sign-in protocol), that step is captured on the event's running sheet and must be completed before the day.</w:t>
      </w:r>
    </w:p>
    <w:p>
      <w:pPr>
        <w:pStyle w:val="Heading2"/>
        <w:spacing w:after="140" w:before="280"/>
      </w:pPr>
      <w:r>
        <w:rPr>
          <w:b/>
          <w:bCs/>
        </w:rPr>
        <w:t xml:space="preserve">Training &amp; ongoing development</w:t>
      </w:r>
    </w:p>
    <w:p>
      <w:pPr>
        <w:pStyle w:val="ListParagraph"/>
        <w:numPr>
          <w:ilvl w:val="0"/>
          <w:numId w:val="2"/>
        </w:numPr>
        <w:spacing w:after="60"/>
      </w:pPr>
      <w:r>
        <w:t xml:space="preserve">Coaches regularly review material on the Queensland Blue Card Services website (www.qld.gov.au/bluecard).</w:t>
      </w:r>
    </w:p>
    <w:p>
      <w:pPr>
        <w:pStyle w:val="ListParagraph"/>
        <w:numPr>
          <w:ilvl w:val="0"/>
          <w:numId w:val="2"/>
        </w:numPr>
        <w:spacing w:after="60"/>
      </w:pPr>
      <w:r>
        <w:t xml:space="preserve">FBU coaches review material from the Queensland Family and Child Commission, Office for the Safe Care of Children, and the Queensland Police Service on child protection.</w:t>
      </w:r>
    </w:p>
    <w:p>
      <w:pPr>
        <w:pStyle w:val="ListParagraph"/>
        <w:numPr>
          <w:ilvl w:val="0"/>
          <w:numId w:val="2"/>
        </w:numPr>
        <w:spacing w:after="60"/>
      </w:pPr>
      <w:r>
        <w:t xml:space="preserve">Joe Dawes maintains a child-protection training record for himself and the FBU team. New coaches complete a short FBU child-safety briefing before their first event.</w:t>
      </w:r>
    </w:p>
    <w:p>
      <w:pPr>
        <w:pStyle w:val="ListParagraph"/>
        <w:numPr>
          <w:ilvl w:val="0"/>
          <w:numId w:val="2"/>
        </w:numPr>
        <w:spacing w:after="60"/>
      </w:pPr>
      <w:r>
        <w:t xml:space="preserve">FBU revisits child-safety topics at least annually at coach development sessions and after any significant incident.</w:t>
      </w:r>
    </w:p>
    <w:p>
      <w:pPr>
        <w:pStyle w:val="Heading2"/>
        <w:spacing w:after="140" w:before="280"/>
      </w:pPr>
      <w:r>
        <w:rPr>
          <w:b/>
          <w:bCs/>
        </w:rPr>
        <w:t xml:space="preserve">Volunteers, parent helpers and observers</w:t>
      </w:r>
    </w:p>
    <w:p>
      <w:pPr>
        <w:spacing w:after="120" w:line="320"/>
      </w:pPr>
      <w:r>
        <w:t xml:space="preserve">FBU events sometimes involve parent helpers, school staff, sponsor representatives or visiting professionals. The following rules apply:</w:t>
      </w:r>
    </w:p>
    <w:p>
      <w:pPr>
        <w:pStyle w:val="ListParagraph"/>
        <w:numPr>
          <w:ilvl w:val="0"/>
          <w:numId w:val="2"/>
        </w:numPr>
        <w:spacing w:after="60"/>
      </w:pPr>
      <w:r>
        <w:t xml:space="preserve">Volunteers and helpers who will be in contact with children must hold a current blue card (or qualify for an exemption under the QLD Working with Children scheme).</w:t>
      </w:r>
    </w:p>
    <w:p>
      <w:pPr>
        <w:pStyle w:val="ListParagraph"/>
        <w:numPr>
          <w:ilvl w:val="0"/>
          <w:numId w:val="2"/>
        </w:numPr>
        <w:spacing w:after="60"/>
      </w:pPr>
      <w:r>
        <w:t xml:space="preserve">Visiting sponsors, journalists and observers must be supervised by an FBU coach at all times and may not be alone with a child.</w:t>
      </w:r>
    </w:p>
    <w:p>
      <w:pPr>
        <w:pStyle w:val="ListParagraph"/>
        <w:numPr>
          <w:ilvl w:val="0"/>
          <w:numId w:val="2"/>
        </w:numPr>
        <w:spacing w:after="60"/>
      </w:pPr>
      <w:r>
        <w:t xml:space="preserve">Where parents or volunteers attend an event, they are briefed on FBU's expectations (no unsupervised contact, no photography without consent, no recording of children other than their own).</w:t>
      </w:r>
    </w:p>
    <w:p>
      <w:pPr>
        <w:pStyle w:val="Heading2"/>
        <w:spacing w:after="140" w:before="280"/>
      </w:pPr>
      <w:r>
        <w:rPr>
          <w:b/>
          <w:bCs/>
        </w:rPr>
        <w:t xml:space="preserve">Behaviour expectations on travel and away events</w:t>
      </w:r>
    </w:p>
    <w:p>
      <w:pPr>
        <w:pStyle w:val="ListParagraph"/>
        <w:numPr>
          <w:ilvl w:val="0"/>
          <w:numId w:val="2"/>
        </w:numPr>
        <w:spacing w:after="60"/>
      </w:pPr>
      <w:r>
        <w:t xml:space="preserve">Coaches travelling with a Roadshow squad or away program follow the same rules: no one-on-one travel with a single child; transport arranged with parent consent.</w:t>
      </w:r>
    </w:p>
    <w:p>
      <w:pPr>
        <w:pStyle w:val="ListParagraph"/>
        <w:numPr>
          <w:ilvl w:val="0"/>
          <w:numId w:val="2"/>
        </w:numPr>
        <w:spacing w:after="60"/>
      </w:pPr>
      <w:r>
        <w:t xml:space="preserve">Hotel/accommodation rooms are not shared between coaches and children. Coach and athlete rooms are on separate floors or wings where possible.</w:t>
      </w:r>
    </w:p>
    <w:p>
      <w:pPr>
        <w:pStyle w:val="ListParagraph"/>
        <w:numPr>
          <w:ilvl w:val="0"/>
          <w:numId w:val="2"/>
        </w:numPr>
        <w:spacing w:after="60"/>
      </w:pPr>
      <w:r>
        <w:t xml:space="preserve">Itineraries are shared with parents in advance via the FBU portal or email.</w:t>
      </w:r>
    </w:p>
    <w:p>
      <w:r>
        <w:br w:type="page"/>
      </w:r>
    </w:p>
    <w:p>
      <w:pPr>
        <w:pStyle w:val="Heading1"/>
        <w:spacing w:after="200" w:before="360"/>
      </w:pPr>
      <w:r>
        <w:rPr>
          <w:b/>
          <w:bCs/>
        </w:rPr>
        <w:t xml:space="preserve">4. Reporting disclosures and suspicions of harm</w:t>
      </w:r>
    </w:p>
    <w:p>
      <w:pPr>
        <w:spacing w:after="120" w:line="320"/>
      </w:pPr>
      <w:r>
        <w:t xml:space="preserve">If confronted with a disclosure of harm from a child or young person, FBU coaches will respond professionally and in the best interests of the child. The flowchart in Appendix A summarises the process. The narrative below sets out the obligations in detail.</w:t>
      </w:r>
    </w:p>
    <w:p>
      <w:pPr>
        <w:pStyle w:val="Heading2"/>
        <w:spacing w:after="140" w:before="280"/>
      </w:pPr>
      <w:r>
        <w:rPr>
          <w:b/>
          <w:bCs/>
        </w:rPr>
        <w:t xml:space="preserve">If a child discloses harm</w:t>
      </w:r>
    </w:p>
    <w:p>
      <w:pPr>
        <w:pStyle w:val="ListParagraph"/>
        <w:numPr>
          <w:ilvl w:val="0"/>
          <w:numId w:val="2"/>
        </w:numPr>
        <w:spacing w:after="60"/>
      </w:pPr>
      <w:r>
        <w:t xml:space="preserve">Remain calm. Find a private place to talk where you and the child are visible to a third adult.</w:t>
      </w:r>
    </w:p>
    <w:p>
      <w:pPr>
        <w:pStyle w:val="ListParagraph"/>
        <w:numPr>
          <w:ilvl w:val="0"/>
          <w:numId w:val="2"/>
        </w:numPr>
        <w:spacing w:after="60"/>
      </w:pPr>
      <w:r>
        <w:t xml:space="preserve">Tell the child you cannot keep this a secret — you must report it so that you can keep them safe.</w:t>
      </w:r>
    </w:p>
    <w:p>
      <w:pPr>
        <w:pStyle w:val="ListParagraph"/>
        <w:numPr>
          <w:ilvl w:val="0"/>
          <w:numId w:val="2"/>
        </w:numPr>
        <w:spacing w:after="60"/>
      </w:pPr>
      <w:r>
        <w:t xml:space="preserve">Only ask enough questions to confirm the need to report. Do not conduct your own investigation.</w:t>
      </w:r>
    </w:p>
    <w:p>
      <w:pPr>
        <w:pStyle w:val="ListParagraph"/>
        <w:numPr>
          <w:ilvl w:val="0"/>
          <w:numId w:val="2"/>
        </w:numPr>
        <w:spacing w:after="60"/>
      </w:pPr>
      <w:r>
        <w:t xml:space="preserve">Reassure the child that they are not in trouble and that the disclosure was the right thing to do.</w:t>
      </w:r>
    </w:p>
    <w:p>
      <w:pPr>
        <w:pStyle w:val="Heading2"/>
        <w:spacing w:after="140" w:before="280"/>
      </w:pPr>
      <w:r>
        <w:rPr>
          <w:b/>
          <w:bCs/>
        </w:rPr>
        <w:t xml:space="preserve">Document</w:t>
      </w:r>
    </w:p>
    <w:p>
      <w:pPr>
        <w:pStyle w:val="ListParagraph"/>
        <w:numPr>
          <w:ilvl w:val="0"/>
          <w:numId w:val="2"/>
        </w:numPr>
        <w:spacing w:after="60"/>
      </w:pPr>
      <w:r>
        <w:t xml:space="preserve">As soon as practicable, complete an Incident Report (Appendix B) noting time, date, place, what was said, what you said, any actions taken, the names of any other people present.</w:t>
      </w:r>
    </w:p>
    <w:p>
      <w:pPr>
        <w:pStyle w:val="ListParagraph"/>
        <w:numPr>
          <w:ilvl w:val="0"/>
          <w:numId w:val="2"/>
        </w:numPr>
        <w:spacing w:after="60"/>
      </w:pPr>
      <w:r>
        <w:t xml:space="preserve">Sign and date the record. Store securely in the FBU compliance file. Mark it confidential.</w:t>
      </w:r>
    </w:p>
    <w:p>
      <w:pPr>
        <w:pStyle w:val="Heading2"/>
        <w:spacing w:after="140" w:before="280"/>
      </w:pPr>
      <w:r>
        <w:rPr>
          <w:b/>
          <w:bCs/>
        </w:rPr>
        <w:t xml:space="preserve">Report</w:t>
      </w:r>
    </w:p>
    <w:p>
      <w:pPr>
        <w:pStyle w:val="ListParagraph"/>
        <w:numPr>
          <w:ilvl w:val="0"/>
          <w:numId w:val="2"/>
        </w:numPr>
        <w:spacing w:after="60"/>
      </w:pPr>
      <w:r>
        <w:rPr>
          <w:b/>
          <w:bCs/>
        </w:rPr>
        <w:t xml:space="preserve">Harm in the home: </w:t>
      </w:r>
      <w:r>
        <w:t xml:space="preserve">notify Queensland Child Safety (Child Safety After Hours Service Centre on 1800 177 135) if you suspect or are told a child is being harmed at home. You are not required to inform the parent or guardian you have done so.</w:t>
      </w:r>
    </w:p>
    <w:p>
      <w:pPr>
        <w:pStyle w:val="ListParagraph"/>
        <w:numPr>
          <w:ilvl w:val="0"/>
          <w:numId w:val="2"/>
        </w:numPr>
        <w:spacing w:after="60"/>
      </w:pPr>
      <w:r>
        <w:rPr>
          <w:b/>
          <w:bCs/>
        </w:rPr>
        <w:t xml:space="preserve">Harm outside the home (including by another child): </w:t>
      </w:r>
      <w:r>
        <w:t xml:space="preserve">notify the Queensland Police Service on 131 444, or 000 if the child is in immediate danger.</w:t>
      </w:r>
    </w:p>
    <w:p>
      <w:pPr>
        <w:pStyle w:val="ListParagraph"/>
        <w:numPr>
          <w:ilvl w:val="0"/>
          <w:numId w:val="2"/>
        </w:numPr>
        <w:spacing w:after="60"/>
      </w:pPr>
      <w:r>
        <w:rPr>
          <w:b/>
          <w:bCs/>
        </w:rPr>
        <w:t xml:space="preserve">Self-harm: </w:t>
      </w:r>
      <w:r>
        <w:t xml:space="preserve">notify either Queensland Child Safety or the Queensland Police Service depending on which is more appropriate to the circumstances.</w:t>
      </w:r>
    </w:p>
    <w:p>
      <w:pPr>
        <w:pStyle w:val="ListParagraph"/>
        <w:numPr>
          <w:ilvl w:val="0"/>
          <w:numId w:val="2"/>
        </w:numPr>
        <w:spacing w:after="60"/>
      </w:pPr>
      <w:r>
        <w:rPr>
          <w:b/>
          <w:bCs/>
        </w:rPr>
        <w:t xml:space="preserve">Unsure: </w:t>
      </w:r>
      <w:r>
        <w:t xml:space="preserve">ring Blue Card Services on 1800 113 611 for guidance, or call the Child Safety service line.</w:t>
      </w:r>
    </w:p>
    <w:p>
      <w:pPr>
        <w:pStyle w:val="ListParagraph"/>
        <w:numPr>
          <w:ilvl w:val="0"/>
          <w:numId w:val="2"/>
        </w:numPr>
        <w:spacing w:after="60"/>
      </w:pPr>
      <w:r>
        <w:t xml:space="preserve">All reports and supporting documentation are kept confidential and stored securely in the FBU compliance file.</w:t>
      </w:r>
    </w:p>
    <w:p>
      <w:pPr>
        <w:pStyle w:val="Heading2"/>
        <w:spacing w:after="140" w:before="280"/>
      </w:pPr>
      <w:r>
        <w:rPr>
          <w:b/>
          <w:bCs/>
        </w:rPr>
        <w:t xml:space="preserve">Following a report</w:t>
      </w:r>
    </w:p>
    <w:p>
      <w:pPr>
        <w:pStyle w:val="ListParagraph"/>
        <w:numPr>
          <w:ilvl w:val="0"/>
          <w:numId w:val="2"/>
        </w:numPr>
        <w:spacing w:after="60"/>
      </w:pPr>
      <w:r>
        <w:t xml:space="preserve">Notify Joe Dawes (head coach) at the earliest opportunity so FBU can support the child and the coach through the process.</w:t>
      </w:r>
    </w:p>
    <w:p>
      <w:pPr>
        <w:pStyle w:val="ListParagraph"/>
        <w:numPr>
          <w:ilvl w:val="0"/>
          <w:numId w:val="2"/>
        </w:numPr>
        <w:spacing w:after="60"/>
      </w:pPr>
      <w:r>
        <w:t xml:space="preserve">Cooperate fully with any subsequent investigation by Queensland Child Safety, the Queensland Police Service, or Blue Card Services.</w:t>
      </w:r>
    </w:p>
    <w:p>
      <w:pPr>
        <w:pStyle w:val="ListParagraph"/>
        <w:numPr>
          <w:ilvl w:val="0"/>
          <w:numId w:val="2"/>
        </w:numPr>
        <w:spacing w:after="60"/>
      </w:pPr>
      <w:r>
        <w:t xml:space="preserve">Do not discuss the matter with parties outside the investigation.</w:t>
      </w:r>
    </w:p>
    <w:p>
      <w:pPr>
        <w:pStyle w:val="ListParagraph"/>
        <w:numPr>
          <w:ilvl w:val="0"/>
          <w:numId w:val="2"/>
        </w:numPr>
        <w:spacing w:after="60"/>
      </w:pPr>
      <w:r>
        <w:t xml:space="preserve">Provide pastoral and operational support to the child as appropriate.</w:t>
      </w:r>
    </w:p>
    <w:p>
      <w:r>
        <w:br w:type="page"/>
      </w:r>
    </w:p>
    <w:p>
      <w:pPr>
        <w:pStyle w:val="Heading1"/>
        <w:spacing w:after="200" w:before="360"/>
      </w:pPr>
      <w:r>
        <w:rPr>
          <w:b/>
          <w:bCs/>
        </w:rPr>
        <w:t xml:space="preserve">5. Managing complaints</w:t>
      </w:r>
    </w:p>
    <w:p>
      <w:pPr>
        <w:spacing w:after="120" w:line="320"/>
      </w:pPr>
      <w:r>
        <w:t xml:space="preserve">FastBowlersU is committed to conducting its activities in an open and accountable way. We encourage parents, guardians and children to raise any concern early so it can be resolved professionally and sensitively.</w:t>
      </w:r>
    </w:p>
    <w:p>
      <w:pPr>
        <w:pStyle w:val="ListParagraph"/>
        <w:numPr>
          <w:ilvl w:val="0"/>
          <w:numId w:val="2"/>
        </w:numPr>
        <w:spacing w:after="60"/>
      </w:pPr>
      <w:r>
        <w:t xml:space="preserve">Initial concerns should be raised with the coach delivering the activity, who will attempt to resolve them on the spot.</w:t>
      </w:r>
    </w:p>
    <w:p>
      <w:pPr>
        <w:pStyle w:val="ListParagraph"/>
        <w:numPr>
          <w:ilvl w:val="0"/>
          <w:numId w:val="2"/>
        </w:numPr>
        <w:spacing w:after="60"/>
      </w:pPr>
      <w:r>
        <w:t xml:space="preserve">If the matter is not resolved, parents or guardians can contact Joe Dawes directly at coaching@fastbowlersu.au or +61 403 368 575.</w:t>
      </w:r>
    </w:p>
    <w:p>
      <w:pPr>
        <w:pStyle w:val="ListParagraph"/>
        <w:numPr>
          <w:ilvl w:val="0"/>
          <w:numId w:val="2"/>
        </w:numPr>
        <w:spacing w:after="60"/>
      </w:pPr>
      <w:r>
        <w:t xml:space="preserve">If the matter is still not resolved, FBU will acknowledge the complaint in writing within five business days and provide a written response within twenty business days.</w:t>
      </w:r>
    </w:p>
    <w:p>
      <w:pPr>
        <w:pStyle w:val="ListParagraph"/>
        <w:numPr>
          <w:ilvl w:val="0"/>
          <w:numId w:val="2"/>
        </w:numPr>
        <w:spacing w:after="60"/>
      </w:pPr>
      <w:r>
        <w:t xml:space="preserve">Confidentiality is maintained throughout the process, save where reporting obligations apply (see Section 4).</w:t>
      </w:r>
    </w:p>
    <w:p>
      <w:pPr>
        <w:pStyle w:val="Heading3"/>
        <w:spacing w:after="100" w:before="200"/>
      </w:pPr>
      <w:r>
        <w:rPr>
          <w:b/>
          <w:bCs/>
        </w:rPr>
        <w:t xml:space="preserve">If FBU's response is unsatisfactory</w:t>
      </w:r>
    </w:p>
    <w:p>
      <w:pPr>
        <w:pStyle w:val="ListParagraph"/>
        <w:numPr>
          <w:ilvl w:val="0"/>
          <w:numId w:val="2"/>
        </w:numPr>
        <w:spacing w:after="60"/>
      </w:pPr>
      <w:r>
        <w:rPr>
          <w:b/>
          <w:bCs/>
        </w:rPr>
        <w:t xml:space="preserve">Blue card or child-safety matters: </w:t>
      </w:r>
      <w:r>
        <w:t xml:space="preserve">Blue Card Services, 1800 113 611.</w:t>
      </w:r>
    </w:p>
    <w:p>
      <w:pPr>
        <w:pStyle w:val="ListParagraph"/>
        <w:numPr>
          <w:ilvl w:val="0"/>
          <w:numId w:val="2"/>
        </w:numPr>
        <w:spacing w:after="60"/>
      </w:pPr>
      <w:r>
        <w:rPr>
          <w:b/>
          <w:bCs/>
        </w:rPr>
        <w:t xml:space="preserve">Alleged criminal behaviour by an FBU coach or contractor: </w:t>
      </w:r>
      <w:r>
        <w:t xml:space="preserve">Queensland Police Service, 131 444 (or 000 in an emergency).</w:t>
      </w:r>
    </w:p>
    <w:p>
      <w:pPr>
        <w:pStyle w:val="ListParagraph"/>
        <w:numPr>
          <w:ilvl w:val="0"/>
          <w:numId w:val="2"/>
        </w:numPr>
        <w:spacing w:after="60"/>
      </w:pPr>
      <w:r>
        <w:rPr>
          <w:b/>
          <w:bCs/>
        </w:rPr>
        <w:t xml:space="preserve">Professional standards concerns: </w:t>
      </w:r>
      <w:r>
        <w:t xml:space="preserve">Cricket Australia / Queensland Cricket coach welfare team.</w:t>
      </w:r>
    </w:p>
    <w:p>
      <w:pPr>
        <w:pStyle w:val="ListParagraph"/>
        <w:numPr>
          <w:ilvl w:val="0"/>
          <w:numId w:val="2"/>
        </w:numPr>
        <w:spacing w:after="60"/>
      </w:pPr>
      <w:r>
        <w:rPr>
          <w:b/>
          <w:bCs/>
        </w:rPr>
        <w:t xml:space="preserve">Privacy and data-handling concerns: </w:t>
      </w:r>
      <w:r>
        <w:t xml:space="preserve">Office of the Australian Information Commissioner, oaic.gov.au, 1300 363 992.</w:t>
      </w:r>
    </w:p>
    <w:p>
      <w:pPr>
        <w:pStyle w:val="Heading3"/>
        <w:spacing w:after="100" w:before="200"/>
      </w:pPr>
      <w:r>
        <w:rPr>
          <w:b/>
          <w:bCs/>
        </w:rPr>
        <w:t xml:space="preserve">Breaches of the code of conduct by children</w:t>
      </w:r>
    </w:p>
    <w:p>
      <w:pPr>
        <w:spacing w:after="120" w:line="320"/>
      </w:pPr>
      <w:r>
        <w:t xml:space="preserve">All parties are expected to abide by the code of conduct in Section 2. Breaches will be addressed promptly. Where a child is misbehaving in a session, in the first instance the coach will speak with the child. If the matter is not resolved, the coach will speak with the parent or guardian.</w:t>
      </w:r>
    </w:p>
    <w:p>
      <w:pPr>
        <w:spacing w:after="120" w:line="320"/>
      </w:pPr>
      <w:r>
        <w:t xml:space="preserve">Continued breaches could result in:</w:t>
      </w:r>
    </w:p>
    <w:p>
      <w:pPr>
        <w:pStyle w:val="ListParagraph"/>
        <w:numPr>
          <w:ilvl w:val="0"/>
          <w:numId w:val="2"/>
        </w:numPr>
        <w:spacing w:after="60"/>
      </w:pPr>
      <w:r>
        <w:t xml:space="preserve">Adjustments to future session arrangements, including a participation plan to help the child engage safely and supportively.</w:t>
      </w:r>
    </w:p>
    <w:p>
      <w:pPr>
        <w:pStyle w:val="ListParagraph"/>
        <w:numPr>
          <w:ilvl w:val="0"/>
          <w:numId w:val="2"/>
        </w:numPr>
        <w:spacing w:after="60"/>
      </w:pPr>
      <w:r>
        <w:t xml:space="preserve">Termination of further coaching with a refund pro-rata for any prepaid sessions yet to be delivered.</w:t>
      </w:r>
    </w:p>
    <w:p>
      <w:pPr>
        <w:pStyle w:val="ListParagraph"/>
        <w:numPr>
          <w:ilvl w:val="0"/>
          <w:numId w:val="2"/>
        </w:numPr>
        <w:spacing w:after="60"/>
      </w:pPr>
      <w:r>
        <w:t xml:space="preserve">Notification to Queensland Police or Child Safety if a breach is considered criminal or involves harm to another participant.</w:t>
      </w:r>
    </w:p>
    <w:p>
      <w:r>
        <w:br w:type="page"/>
      </w:r>
    </w:p>
    <w:p>
      <w:pPr>
        <w:pStyle w:val="Heading1"/>
        <w:spacing w:after="200" w:before="360"/>
      </w:pPr>
      <w:r>
        <w:rPr>
          <w:b/>
          <w:bCs/>
        </w:rPr>
        <w:t xml:space="preserve">6. Blue card compliance</w:t>
      </w:r>
    </w:p>
    <w:p>
      <w:pPr>
        <w:pStyle w:val="Heading2"/>
        <w:spacing w:after="140" w:before="280"/>
      </w:pPr>
      <w:r>
        <w:rPr>
          <w:b/>
          <w:bCs/>
        </w:rPr>
        <w:t xml:space="preserve">Currency</w:t>
      </w:r>
    </w:p>
    <w:p>
      <w:pPr>
        <w:pStyle w:val="ListParagraph"/>
        <w:numPr>
          <w:ilvl w:val="0"/>
          <w:numId w:val="2"/>
        </w:numPr>
        <w:spacing w:after="60"/>
      </w:pPr>
      <w:r>
        <w:t xml:space="preserve">Every coach delivering FBU activities holds and maintains a current Queensland Blue Card. Renewal applications are submitted at least thirty days before expiry.</w:t>
      </w:r>
    </w:p>
    <w:p>
      <w:pPr>
        <w:pStyle w:val="ListParagraph"/>
        <w:numPr>
          <w:ilvl w:val="0"/>
          <w:numId w:val="2"/>
        </w:numPr>
        <w:spacing w:after="60"/>
      </w:pPr>
      <w:r>
        <w:t xml:space="preserve">FBU monitors expiry dates through the coach profile blue-card register in the FBU portal. Any card within sixty days of expiry triggers an automatic reminder.</w:t>
      </w:r>
    </w:p>
    <w:p>
      <w:pPr>
        <w:pStyle w:val="Heading2"/>
        <w:spacing w:after="140" w:before="280"/>
      </w:pPr>
      <w:r>
        <w:rPr>
          <w:b/>
          <w:bCs/>
        </w:rPr>
        <w:t xml:space="preserve">Reporting requirements</w:t>
      </w:r>
    </w:p>
    <w:p>
      <w:pPr>
        <w:pStyle w:val="ListParagraph"/>
        <w:numPr>
          <w:ilvl w:val="0"/>
          <w:numId w:val="2"/>
        </w:numPr>
        <w:spacing w:after="60"/>
      </w:pPr>
      <w:r>
        <w:t xml:space="preserve">FBU coaches advise Blue Card Services if there has been a change in police or disciplinary information, and will not continue to conduct child-related work until a 'Change in police information' form has been submitted.</w:t>
      </w:r>
    </w:p>
    <w:p>
      <w:pPr>
        <w:pStyle w:val="ListParagraph"/>
        <w:numPr>
          <w:ilvl w:val="0"/>
          <w:numId w:val="2"/>
        </w:numPr>
        <w:spacing w:after="60"/>
      </w:pPr>
      <w:r>
        <w:t xml:space="preserve">FBU notifies Blue Card Services if its trading address changes.</w:t>
      </w:r>
    </w:p>
    <w:p>
      <w:pPr>
        <w:pStyle w:val="ListParagraph"/>
        <w:numPr>
          <w:ilvl w:val="0"/>
          <w:numId w:val="2"/>
        </w:numPr>
        <w:spacing w:after="60"/>
      </w:pPr>
      <w:r>
        <w:t xml:space="preserve">FBU notifies Blue Card Services if the business ceases operating regulated child-related activities.</w:t>
      </w:r>
    </w:p>
    <w:p>
      <w:pPr>
        <w:pStyle w:val="Heading2"/>
        <w:spacing w:after="140" w:before="280"/>
      </w:pPr>
      <w:r>
        <w:rPr>
          <w:b/>
          <w:bCs/>
        </w:rPr>
        <w:t xml:space="preserve">Volunteers and staff</w:t>
      </w:r>
    </w:p>
    <w:p>
      <w:pPr>
        <w:pStyle w:val="ListParagraph"/>
        <w:numPr>
          <w:ilvl w:val="0"/>
          <w:numId w:val="2"/>
        </w:numPr>
        <w:spacing w:after="60"/>
      </w:pPr>
      <w:r>
        <w:t xml:space="preserve">Any volunteer or contractor engaged for an FBU event undergoes the blue-card screening process before commencing work with children, in accordance with the Blue Card Services guidance at www.qld.gov.au/bluecard.</w:t>
      </w:r>
    </w:p>
    <w:p>
      <w:r>
        <w:br w:type="page"/>
      </w:r>
    </w:p>
    <w:p>
      <w:pPr>
        <w:pStyle w:val="Heading1"/>
        <w:spacing w:after="200" w:before="360"/>
      </w:pPr>
      <w:r>
        <w:rPr>
          <w:b/>
          <w:bCs/>
        </w:rPr>
        <w:t xml:space="preserve">7. Annual review (and review after any incident)</w:t>
      </w:r>
    </w:p>
    <w:p>
      <w:pPr>
        <w:spacing w:after="120" w:line="320"/>
      </w:pPr>
      <w:r>
        <w:t xml:space="preserve">This strategy is reviewed at least annually by Joe Dawes, and additionally:</w:t>
      </w:r>
    </w:p>
    <w:p>
      <w:pPr>
        <w:pStyle w:val="ListParagraph"/>
        <w:numPr>
          <w:ilvl w:val="0"/>
          <w:numId w:val="2"/>
        </w:numPr>
        <w:spacing w:after="60"/>
      </w:pPr>
      <w:r>
        <w:t xml:space="preserve">After any significant incident involving a child.</w:t>
      </w:r>
    </w:p>
    <w:p>
      <w:pPr>
        <w:pStyle w:val="ListParagraph"/>
        <w:numPr>
          <w:ilvl w:val="0"/>
          <w:numId w:val="2"/>
        </w:numPr>
        <w:spacing w:after="60"/>
      </w:pPr>
      <w:r>
        <w:t xml:space="preserve">After any material change to Queensland Working with Children legislation.</w:t>
      </w:r>
    </w:p>
    <w:p>
      <w:pPr>
        <w:pStyle w:val="ListParagraph"/>
        <w:numPr>
          <w:ilvl w:val="0"/>
          <w:numId w:val="2"/>
        </w:numPr>
        <w:spacing w:after="60"/>
      </w:pPr>
      <w:r>
        <w:t xml:space="preserve">After any expansion of FBU's services (new program type, new venue, new region).</w:t>
      </w:r>
    </w:p>
    <w:p>
      <w:pPr>
        <w:spacing w:after="120" w:line="320"/>
      </w:pPr>
      <w:r>
        <w:t xml:space="preserve">Each review considers:</w:t>
      </w:r>
    </w:p>
    <w:p>
      <w:pPr>
        <w:pStyle w:val="ListParagraph"/>
        <w:numPr>
          <w:ilvl w:val="0"/>
          <w:numId w:val="2"/>
        </w:numPr>
        <w:spacing w:after="60"/>
      </w:pPr>
      <w:r>
        <w:t xml:space="preserve">Whether the policies and procedures were followed.</w:t>
      </w:r>
    </w:p>
    <w:p>
      <w:pPr>
        <w:pStyle w:val="ListParagraph"/>
        <w:numPr>
          <w:ilvl w:val="0"/>
          <w:numId w:val="2"/>
        </w:numPr>
        <w:spacing w:after="60"/>
      </w:pPr>
      <w:r>
        <w:t xml:space="preserve">Whether any child-safety incidents occurred and how they were handled.</w:t>
      </w:r>
    </w:p>
    <w:p>
      <w:pPr>
        <w:pStyle w:val="ListParagraph"/>
        <w:numPr>
          <w:ilvl w:val="0"/>
          <w:numId w:val="2"/>
        </w:numPr>
        <w:spacing w:after="60"/>
      </w:pPr>
      <w:r>
        <w:t xml:space="preserve">The content and frequency of coach training in relation to this strategy.</w:t>
      </w:r>
    </w:p>
    <w:p>
      <w:pPr>
        <w:pStyle w:val="ListParagraph"/>
        <w:numPr>
          <w:ilvl w:val="0"/>
          <w:numId w:val="2"/>
        </w:numPr>
        <w:spacing w:after="60"/>
      </w:pPr>
      <w:r>
        <w:t xml:space="preserve">The effectiveness of the strategy in preventing or minimising harm.</w:t>
      </w:r>
    </w:p>
    <w:p>
      <w:pPr>
        <w:pStyle w:val="ListParagraph"/>
        <w:numPr>
          <w:ilvl w:val="0"/>
          <w:numId w:val="2"/>
        </w:numPr>
        <w:spacing w:after="60"/>
      </w:pPr>
      <w:r>
        <w:t xml:space="preserve">Any changes needed — to wording, training, or operational practice.</w:t>
      </w:r>
    </w:p>
    <w:p>
      <w:pPr>
        <w:spacing w:after="120" w:line="320"/>
      </w:pPr>
      <w:r>
        <w:t xml:space="preserve">Reviews are documented in writing and shared with the FBU coaching team. The version and effective date on the cover page is updated on every revision.</w:t>
      </w:r>
    </w:p>
    <w:p>
      <w:r>
        <w:br w:type="page"/>
      </w:r>
    </w:p>
    <w:p>
      <w:pPr>
        <w:pStyle w:val="Heading1"/>
        <w:spacing w:after="200" w:before="360"/>
      </w:pPr>
      <w:r>
        <w:rPr>
          <w:b/>
          <w:bCs/>
        </w:rPr>
        <w:t xml:space="preserve">8. High-risk activities and special events</w:t>
      </w:r>
    </w:p>
    <w:p>
      <w:pPr>
        <w:spacing w:after="120" w:line="320"/>
      </w:pPr>
      <w:r>
        <w:t xml:space="preserve">FastBowlersU regularly runs activities that require additional planning and supervision — Roadshow stops at school venues, multi-day Super Clinics, regional pathway tours, video assessment sessions, and Bulls Masters program activities. The following applies to every high-risk activity:</w:t>
      </w:r>
    </w:p>
    <w:p>
      <w:pPr>
        <w:pStyle w:val="Heading2"/>
        <w:spacing w:after="140" w:before="280"/>
      </w:pPr>
      <w:r>
        <w:rPr>
          <w:b/>
          <w:bCs/>
        </w:rPr>
        <w:t xml:space="preserve">Pre-event</w:t>
      </w:r>
    </w:p>
    <w:p>
      <w:pPr>
        <w:pStyle w:val="ListParagraph"/>
        <w:numPr>
          <w:ilvl w:val="0"/>
          <w:numId w:val="2"/>
        </w:numPr>
        <w:spacing w:after="60"/>
      </w:pPr>
      <w:r>
        <w:t xml:space="preserve">Parents and guardians receive written information about the event: purpose, venue, schedule, supervision arrangements, transport, and contact details for the responsible coach.</w:t>
      </w:r>
    </w:p>
    <w:p>
      <w:pPr>
        <w:pStyle w:val="ListParagraph"/>
        <w:numPr>
          <w:ilvl w:val="0"/>
          <w:numId w:val="2"/>
        </w:numPr>
        <w:spacing w:after="60"/>
      </w:pPr>
      <w:r>
        <w:t xml:space="preserve">Any potential risks unique to the event are identified and the mitigation noted.</w:t>
      </w:r>
    </w:p>
    <w:p>
      <w:pPr>
        <w:pStyle w:val="ListParagraph"/>
        <w:numPr>
          <w:ilvl w:val="0"/>
          <w:numId w:val="2"/>
        </w:numPr>
        <w:spacing w:after="60"/>
      </w:pPr>
      <w:r>
        <w:t xml:space="preserve">Where the event is held at a third-party venue, FBU obtains a copy of the host's child-safety arrangements or signs a host-onboarding pack confirming the joint responsibilities.</w:t>
      </w:r>
    </w:p>
    <w:p>
      <w:pPr>
        <w:pStyle w:val="ListParagraph"/>
        <w:numPr>
          <w:ilvl w:val="0"/>
          <w:numId w:val="2"/>
        </w:numPr>
        <w:spacing w:after="60"/>
      </w:pPr>
      <w:r>
        <w:t xml:space="preserve">Bathroom locations, first-aid arrangements, emergency exits and supervision ratios are confirmed before any child arrives.</w:t>
      </w:r>
    </w:p>
    <w:p>
      <w:pPr>
        <w:pStyle w:val="ListParagraph"/>
        <w:numPr>
          <w:ilvl w:val="0"/>
          <w:numId w:val="2"/>
        </w:numPr>
        <w:spacing w:after="60"/>
      </w:pPr>
      <w:r>
        <w:t xml:space="preserve">Coach roster is finalised at least 48 hours in advance. Every rostered coach has a current blue card.</w:t>
      </w:r>
    </w:p>
    <w:p>
      <w:pPr>
        <w:pStyle w:val="Heading2"/>
        <w:spacing w:after="140" w:before="280"/>
      </w:pPr>
      <w:r>
        <w:rPr>
          <w:b/>
          <w:bCs/>
        </w:rPr>
        <w:t xml:space="preserve">During the event</w:t>
      </w:r>
    </w:p>
    <w:p>
      <w:pPr>
        <w:pStyle w:val="ListParagraph"/>
        <w:numPr>
          <w:ilvl w:val="0"/>
          <w:numId w:val="2"/>
        </w:numPr>
        <w:spacing w:after="60"/>
      </w:pPr>
      <w:r>
        <w:t xml:space="preserve">Two-coach rule for any one-on-one activity: a second adult is in view at all times during an assessment, video review or capture station.</w:t>
      </w:r>
    </w:p>
    <w:p>
      <w:pPr>
        <w:pStyle w:val="ListParagraph"/>
        <w:numPr>
          <w:ilvl w:val="0"/>
          <w:numId w:val="2"/>
        </w:numPr>
        <w:spacing w:after="60"/>
      </w:pPr>
      <w:r>
        <w:t xml:space="preserve">Sign-in and sign-out logs are kept for athletes under 18.</w:t>
      </w:r>
    </w:p>
    <w:p>
      <w:pPr>
        <w:pStyle w:val="ListParagraph"/>
        <w:numPr>
          <w:ilvl w:val="0"/>
          <w:numId w:val="2"/>
        </w:numPr>
        <w:spacing w:after="60"/>
      </w:pPr>
      <w:r>
        <w:t xml:space="preserve">Photography and video capture are conducted only where parental consent has been logged via the registration form. Where consent is unclear, no recording is made of that athlete.</w:t>
      </w:r>
    </w:p>
    <w:p>
      <w:pPr>
        <w:pStyle w:val="ListParagraph"/>
        <w:numPr>
          <w:ilvl w:val="0"/>
          <w:numId w:val="2"/>
        </w:numPr>
        <w:spacing w:after="60"/>
      </w:pPr>
      <w:r>
        <w:t xml:space="preserve">Coaches monitor for fatigue, dehydration, injury and emotional distress. A first-aider is on site or readily available.</w:t>
      </w:r>
    </w:p>
    <w:p>
      <w:pPr>
        <w:pStyle w:val="Heading2"/>
        <w:spacing w:after="140" w:before="280"/>
      </w:pPr>
      <w:r>
        <w:rPr>
          <w:b/>
          <w:bCs/>
        </w:rPr>
        <w:t xml:space="preserve">Post-event</w:t>
      </w:r>
    </w:p>
    <w:p>
      <w:pPr>
        <w:pStyle w:val="ListParagraph"/>
        <w:numPr>
          <w:ilvl w:val="0"/>
          <w:numId w:val="2"/>
        </w:numPr>
        <w:spacing w:after="60"/>
      </w:pPr>
      <w:r>
        <w:t xml:space="preserve">Any incident — injury, near-miss, distress, disclosure — is recorded in the FBU incident register.</w:t>
      </w:r>
    </w:p>
    <w:p>
      <w:pPr>
        <w:pStyle w:val="ListParagraph"/>
        <w:numPr>
          <w:ilvl w:val="0"/>
          <w:numId w:val="2"/>
        </w:numPr>
        <w:spacing w:after="60"/>
      </w:pPr>
      <w:r>
        <w:t xml:space="preserve">Follow-up communications with athletes and parents are reviewed for consent and appropriateness before sending.</w:t>
      </w:r>
    </w:p>
    <w:p>
      <w:r>
        <w:br w:type="page"/>
      </w:r>
    </w:p>
    <w:p>
      <w:pPr>
        <w:pStyle w:val="Heading1"/>
        <w:spacing w:after="200" w:before="360"/>
      </w:pPr>
      <w:r>
        <w:rPr>
          <w:b/>
          <w:bCs/>
        </w:rPr>
        <w:t xml:space="preserve">9. Communication and support</w:t>
      </w:r>
    </w:p>
    <w:p>
      <w:pPr>
        <w:pStyle w:val="Heading2"/>
        <w:spacing w:after="140" w:before="280"/>
      </w:pPr>
      <w:r>
        <w:rPr>
          <w:b/>
          <w:bCs/>
        </w:rPr>
        <w:t xml:space="preserve">Communication</w:t>
      </w:r>
    </w:p>
    <w:p>
      <w:pPr>
        <w:pStyle w:val="ListParagraph"/>
        <w:numPr>
          <w:ilvl w:val="0"/>
          <w:numId w:val="2"/>
        </w:numPr>
        <w:spacing w:after="60"/>
      </w:pPr>
      <w:r>
        <w:t xml:space="preserve">A copy of this strategy is displayed on the FBU website at fastbowlersu.au/child-safety.html and is available on request.</w:t>
      </w:r>
    </w:p>
    <w:p>
      <w:pPr>
        <w:pStyle w:val="ListParagraph"/>
        <w:numPr>
          <w:ilvl w:val="0"/>
          <w:numId w:val="2"/>
        </w:numPr>
        <w:spacing w:after="60"/>
      </w:pPr>
      <w:r>
        <w:t xml:space="preserve">Schools, clubs and hosts are sent a copy alongside the standard hosting agreement before any FBU event.</w:t>
      </w:r>
    </w:p>
    <w:p>
      <w:pPr>
        <w:pStyle w:val="ListParagraph"/>
        <w:numPr>
          <w:ilvl w:val="0"/>
          <w:numId w:val="2"/>
        </w:numPr>
        <w:spacing w:after="60"/>
      </w:pPr>
      <w:r>
        <w:t xml:space="preserve">Material changes are notified to parents and guardians on the portal and by email.</w:t>
      </w:r>
    </w:p>
    <w:p>
      <w:pPr>
        <w:pStyle w:val="ListParagraph"/>
        <w:numPr>
          <w:ilvl w:val="0"/>
          <w:numId w:val="2"/>
        </w:numPr>
        <w:spacing w:after="60"/>
      </w:pPr>
      <w:r>
        <w:t xml:space="preserve">Parents and guardians are kept informed of changes to risk-management or blue-card legislation as they occur.</w:t>
      </w:r>
    </w:p>
    <w:p>
      <w:pPr>
        <w:pStyle w:val="Heading2"/>
        <w:spacing w:after="140" w:before="280"/>
      </w:pPr>
      <w:r>
        <w:rPr>
          <w:b/>
          <w:bCs/>
        </w:rPr>
        <w:t xml:space="preserve">Support</w:t>
      </w:r>
    </w:p>
    <w:p>
      <w:pPr>
        <w:spacing w:after="120" w:line="320"/>
      </w:pPr>
      <w:r>
        <w:t xml:space="preserve">If a child or young person appears to be having difficulty, the responsible FBU coach will discuss their observations with the parent or guardian with the aim of supporting the child to participate in a safe and supportive way. Where appropriate, FBU will refer to external support services (school counsellor, GP, headspace.org.au, Kids Helpline 1800 55 1800).</w:t>
      </w:r>
    </w:p>
    <w:p>
      <w:pPr>
        <w:pStyle w:val="Heading2"/>
        <w:spacing w:after="140" w:before="280"/>
      </w:pPr>
      <w:r>
        <w:rPr>
          <w:b/>
          <w:bCs/>
        </w:rPr>
        <w:t xml:space="preserve">Online communications</w:t>
      </w:r>
    </w:p>
    <w:p>
      <w:pPr>
        <w:pStyle w:val="ListParagraph"/>
        <w:numPr>
          <w:ilvl w:val="0"/>
          <w:numId w:val="2"/>
        </w:numPr>
        <w:spacing w:after="60"/>
      </w:pPr>
      <w:r>
        <w:t xml:space="preserve">FBU uses email, the athlete portal, WhatsApp (Bulls Masters program only) and SMS for operational communications. Communication with athletes under 18 always copies the registered parent address.</w:t>
      </w:r>
    </w:p>
    <w:p>
      <w:pPr>
        <w:pStyle w:val="ListParagraph"/>
        <w:numPr>
          <w:ilvl w:val="0"/>
          <w:numId w:val="2"/>
        </w:numPr>
        <w:spacing w:after="60"/>
      </w:pPr>
      <w:r>
        <w:t xml:space="preserve">WhatsApp group chats include parents of under-18 athletes. Adult athletes consent in writing before being added to any chat.</w:t>
      </w:r>
    </w:p>
    <w:p>
      <w:pPr>
        <w:pStyle w:val="ListParagraph"/>
        <w:numPr>
          <w:ilvl w:val="0"/>
          <w:numId w:val="2"/>
        </w:numPr>
        <w:spacing w:after="60"/>
      </w:pPr>
      <w:r>
        <w:t xml:space="preserve">Coaches do not send direct messages to a child outside the registered channels.</w:t>
      </w:r>
    </w:p>
    <w:p>
      <w:r>
        <w:br w:type="page"/>
      </w:r>
    </w:p>
    <w:p>
      <w:pPr>
        <w:pStyle w:val="Heading1"/>
        <w:spacing w:after="200" w:before="360"/>
      </w:pPr>
      <w:r>
        <w:rPr>
          <w:b/>
          <w:bCs/>
        </w:rPr>
        <w:t xml:space="preserve">Appendix A — Reporting disclosures and suspicions of harm</w:t>
      </w:r>
    </w:p>
    <w:p>
      <w:r>
        <w:rPr>
          <w:sz w:val="10"/>
          <w:szCs w:val="10"/>
        </w:rPr>
        <w:t xml:space="preserve"> </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8900"/>
      </w:tblGrid>
      <w:tr>
        <w:tc>
          <w:tcPr>
            <w:tcW w:type="dxa" w:w="8900"/>
            <w:tcBorders>
              <w:top w:val="single" w:color="CCCCCC" w:sz="1"/>
              <w:left w:val="single" w:color="CCCCCC" w:sz="1"/>
              <w:bottom w:val="single" w:color="CCCCCC" w:sz="1"/>
              <w:right w:val="single" w:color="CCCCCC" w:sz="1"/>
            </w:tcBorders>
            <w:shd w:fill="962538" w:val="clear"/>
            <w:tcMar>
              <w:top w:type="dxa" w:w="140"/>
              <w:left w:type="dxa" w:w="200"/>
              <w:bottom w:type="dxa" w:w="140"/>
              <w:right w:type="dxa" w:w="200"/>
            </w:tcMar>
          </w:tcPr>
          <w:p>
            <w:pPr>
              <w:jc w:val="center"/>
            </w:pPr>
            <w:r>
              <w:rPr>
                <w:b/>
                <w:bCs/>
                <w:color w:val="FFFFFF"/>
                <w:sz w:val="24"/>
                <w:szCs w:val="24"/>
              </w:rPr>
              <w:t xml:space="preserve">RECEIVING A DISCLOSURE</w:t>
            </w:r>
          </w:p>
          <w:p>
            <w:pPr>
              <w:spacing w:before="100"/>
              <w:jc w:val="center"/>
            </w:pPr>
            <w:r>
              <w:rPr>
                <w:color w:val="FFFFFF"/>
                <w:sz w:val="20"/>
                <w:szCs w:val="20"/>
              </w:rPr>
              <w:t xml:space="preserve">Remain calm. Find a private, visible place to talk. Tell the child why you can't keep this a secret. Only ask enough questions to confirm the need to report — do not investigate.</w:t>
            </w:r>
          </w:p>
        </w:tc>
      </w:tr>
    </w:tbl>
    <w:p>
      <w:pPr>
        <w:spacing w:after="80" w:before="80"/>
        <w:jc w:val="center"/>
      </w:pPr>
      <w:r>
        <w:rPr>
          <w:b/>
          <w:bCs/>
          <w:color w:val="F2A640"/>
          <w:sz w:val="36"/>
          <w:szCs w:val="36"/>
        </w:rPr>
        <w:t xml:space="preserve">↓</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8900"/>
      </w:tblGrid>
      <w:tr>
        <w:tc>
          <w:tcPr>
            <w:tcW w:type="dxa" w:w="8900"/>
            <w:tcBorders>
              <w:top w:val="single" w:color="CCCCCC" w:sz="1"/>
              <w:left w:val="single" w:color="CCCCCC" w:sz="1"/>
              <w:bottom w:val="single" w:color="CCCCCC" w:sz="1"/>
              <w:right w:val="single" w:color="CCCCCC" w:sz="1"/>
            </w:tcBorders>
            <w:shd w:fill="0E2A20" w:val="clear"/>
            <w:tcMar>
              <w:top w:type="dxa" w:w="140"/>
              <w:left w:type="dxa" w:w="200"/>
              <w:bottom w:type="dxa" w:w="140"/>
              <w:right w:type="dxa" w:w="200"/>
            </w:tcMar>
          </w:tcPr>
          <w:p>
            <w:pPr>
              <w:jc w:val="center"/>
            </w:pPr>
            <w:r>
              <w:rPr>
                <w:b/>
                <w:bCs/>
                <w:color w:val="FFFFFF"/>
                <w:sz w:val="24"/>
                <w:szCs w:val="24"/>
              </w:rPr>
              <w:t xml:space="preserve">DOCUMENTING THE DISCLOSURE OR SUSPICION</w:t>
            </w:r>
          </w:p>
          <w:p>
            <w:pPr>
              <w:spacing w:before="100"/>
              <w:jc w:val="center"/>
            </w:pPr>
            <w:r>
              <w:rPr>
                <w:color w:val="FFFFFF"/>
                <w:sz w:val="20"/>
                <w:szCs w:val="20"/>
              </w:rPr>
              <w:t xml:space="preserve">Complete an Incident Report (Appendix B). Record time, date, place, what was said, what you said, what actions were taken. Sign and date.</w:t>
            </w:r>
          </w:p>
        </w:tc>
      </w:tr>
    </w:tbl>
    <w:p>
      <w:pPr>
        <w:spacing w:after="80" w:before="80"/>
        <w:jc w:val="center"/>
      </w:pPr>
      <w:r>
        <w:rPr>
          <w:b/>
          <w:bCs/>
          <w:color w:val="F2A640"/>
          <w:sz w:val="36"/>
          <w:szCs w:val="36"/>
        </w:rPr>
        <w:t xml:space="preserve">↓</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8900"/>
      </w:tblGrid>
      <w:tr>
        <w:tc>
          <w:tcPr>
            <w:tcW w:type="dxa" w:w="8900"/>
            <w:tcBorders>
              <w:top w:val="single" w:color="CCCCCC" w:sz="1"/>
              <w:left w:val="single" w:color="CCCCCC" w:sz="1"/>
              <w:bottom w:val="single" w:color="CCCCCC" w:sz="1"/>
              <w:right w:val="single" w:color="CCCCCC" w:sz="1"/>
            </w:tcBorders>
            <w:shd w:fill="962538" w:val="clear"/>
            <w:tcMar>
              <w:top w:type="dxa" w:w="140"/>
              <w:left w:type="dxa" w:w="200"/>
              <w:bottom w:type="dxa" w:w="140"/>
              <w:right w:type="dxa" w:w="200"/>
            </w:tcMar>
          </w:tcPr>
          <w:p>
            <w:pPr>
              <w:jc w:val="center"/>
            </w:pPr>
            <w:r>
              <w:rPr>
                <w:b/>
                <w:bCs/>
                <w:color w:val="FFFFFF"/>
                <w:sz w:val="24"/>
                <w:szCs w:val="24"/>
              </w:rPr>
              <w:t xml:space="preserve">REPORTING</w:t>
            </w:r>
          </w:p>
          <w:p>
            <w:pPr>
              <w:spacing w:before="100"/>
              <w:jc w:val="center"/>
            </w:pPr>
            <w:r>
              <w:rPr>
                <w:color w:val="FFFFFF"/>
                <w:sz w:val="20"/>
                <w:szCs w:val="20"/>
              </w:rPr>
              <w:t xml:space="preserve">Queensland Child Safety After Hours: 1800 177 135   ·   Queensland Police: 131 444   ·   Emergency: 000   ·   Blue Card Services (guidance): 1800 113 611</w:t>
            </w:r>
          </w:p>
        </w:tc>
      </w:tr>
    </w:tbl>
    <w:p>
      <w:r>
        <w:br w:type="page"/>
      </w:r>
    </w:p>
    <w:p>
      <w:pPr>
        <w:pStyle w:val="Heading1"/>
        <w:spacing w:after="200" w:before="360"/>
      </w:pPr>
      <w:r>
        <w:rPr>
          <w:b/>
          <w:bCs/>
        </w:rPr>
        <w:t xml:space="preserve">Appendix B — Incident Report Form</w:t>
      </w:r>
    </w:p>
    <w:p>
      <w:pPr>
        <w:spacing w:after="120" w:line="320"/>
      </w:pPr>
      <w:r>
        <w:t xml:space="preserve">Use this template for any disclosure, suspicion of harm, injury or near-miss. Sign, date, and file in the FBU compliance folder. Mark confidential.</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3000"/>
        <w:gridCol w:w="5900"/>
      </w:tblGrid>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Date of incident</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Time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Place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Reporter name (coach)</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Child / young person involved</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Other people present</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Description of incident / disclosure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18"/>
                <w:szCs w:val="18"/>
              </w:rPr>
              <w:t xml:space="preserve"/>
            </w:r>
          </w:p>
          <w:p>
            <w:r>
              <w:rPr>
                <w:sz w:val="18"/>
                <w:szCs w:val="18"/>
              </w:rPr>
              <w:t xml:space="preserve"/>
            </w:r>
          </w:p>
          <w:p>
            <w:r>
              <w:rPr>
                <w:sz w:val="18"/>
                <w:szCs w:val="18"/>
              </w:rPr>
              <w:t xml:space="preserve"/>
            </w:r>
          </w:p>
          <w:p>
            <w:r>
              <w:rPr>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What did the child say (verbatim where possible)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18"/>
                <w:szCs w:val="18"/>
              </w:rPr>
              <w:t xml:space="preserve"/>
            </w:r>
          </w:p>
          <w:p>
            <w:r>
              <w:rPr>
                <w:sz w:val="18"/>
                <w:szCs w:val="18"/>
              </w:rPr>
              <w:t xml:space="preserve"/>
            </w:r>
          </w:p>
          <w:p>
            <w:r>
              <w:rPr>
                <w:sz w:val="18"/>
                <w:szCs w:val="18"/>
              </w:rPr>
              <w:t xml:space="preserve"/>
            </w:r>
          </w:p>
          <w:p>
            <w:r>
              <w:rPr>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What did you say / do?</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18"/>
                <w:szCs w:val="18"/>
              </w:rPr>
              <w:t xml:space="preserve"/>
            </w:r>
          </w:p>
          <w:p>
            <w:r>
              <w:rPr>
                <w:sz w:val="18"/>
                <w:szCs w:val="18"/>
              </w:rPr>
              <w:t xml:space="preserve"/>
            </w:r>
          </w:p>
          <w:p>
            <w:r>
              <w:rPr>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Action taken (e.g. report made to Police / Child Safety, head coach informed)</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18"/>
                <w:szCs w:val="18"/>
              </w:rPr>
              <w:t xml:space="preserve"/>
            </w:r>
          </w:p>
          <w:p>
            <w:r>
              <w:rPr>
                <w:sz w:val="18"/>
                <w:szCs w:val="18"/>
              </w:rPr>
              <w:t xml:space="preserve"/>
            </w:r>
          </w:p>
          <w:p>
            <w:r>
              <w:rPr>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Date of action</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Reporter signature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r>
        <w:tc>
          <w:tcPr>
            <w:tcW w:type="dxa" w:w="30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Head coach signature</w:t>
            </w:r>
          </w:p>
        </w:tc>
        <w:tc>
          <w:tcPr>
            <w:tcW w:type="dxa" w:w="5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
            </w:r>
          </w:p>
        </w:tc>
      </w:tr>
    </w:tbl>
    <w:p>
      <w:r>
        <w:br w:type="page"/>
      </w:r>
    </w:p>
    <w:p>
      <w:pPr>
        <w:pStyle w:val="Heading1"/>
        <w:spacing w:after="200" w:before="360"/>
      </w:pPr>
      <w:r>
        <w:rPr>
          <w:b/>
          <w:bCs/>
        </w:rPr>
        <w:t xml:space="preserve">Appendix C — Risk analysis matrix and risk register</w:t>
      </w:r>
    </w:p>
    <w:p>
      <w:pPr>
        <w:pStyle w:val="Heading2"/>
        <w:spacing w:after="140" w:before="280"/>
      </w:pPr>
      <w:r>
        <w:rPr>
          <w:b/>
          <w:bCs/>
        </w:rPr>
        <w:t xml:space="preserve">Risk analysis matrix</w:t>
      </w:r>
    </w:p>
    <w:p>
      <w:pPr>
        <w:spacing w:after="120" w:line="320"/>
      </w:pPr>
      <w:r>
        <w:t xml:space="preserve">Use the matrix to translate a likelihood and a consequence into an overall level of risk. The same matrix is used for one-off events (Roadshow stops, school clinics) and ongoing programs (Academy, Bulls Masters).</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2400"/>
        <w:gridCol w:w="1300"/>
        <w:gridCol w:w="1300"/>
        <w:gridCol w:w="1300"/>
        <w:gridCol w:w="1300"/>
        <w:gridCol w:w="1300"/>
      </w:tblGrid>
      <w:tr>
        <w:trPr>
          <w:tblHeader/>
        </w:trPr>
        <w:tc>
          <w:tcPr>
            <w:tcW w:type="dxa" w:w="24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Likelihood</w:t>
            </w:r>
          </w:p>
        </w:tc>
        <w:tc>
          <w:tcPr>
            <w:tcW w:type="dxa" w:w="1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Insignificant</w:t>
            </w:r>
          </w:p>
        </w:tc>
        <w:tc>
          <w:tcPr>
            <w:tcW w:type="dxa" w:w="1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Minor</w:t>
            </w:r>
          </w:p>
        </w:tc>
        <w:tc>
          <w:tcPr>
            <w:tcW w:type="dxa" w:w="1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Moderate</w:t>
            </w:r>
          </w:p>
        </w:tc>
        <w:tc>
          <w:tcPr>
            <w:tcW w:type="dxa" w:w="1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Major</w:t>
            </w:r>
          </w:p>
        </w:tc>
        <w:tc>
          <w:tcPr>
            <w:tcW w:type="dxa" w:w="1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Extreme</w:t>
            </w:r>
          </w:p>
        </w:tc>
      </w:tr>
      <w:tr>
        <w:tc>
          <w:tcPr>
            <w:tcW w:type="dxa" w:w="24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Very likely — expected to occur most of the time</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Critical</w:t>
            </w:r>
          </w:p>
        </w:tc>
      </w:tr>
      <w:tr>
        <w:tc>
          <w:tcPr>
            <w:tcW w:type="dxa" w:w="24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Likely — will probably occur in most circumstances</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Critical</w:t>
            </w:r>
          </w:p>
        </w:tc>
      </w:tr>
      <w:tr>
        <w:tc>
          <w:tcPr>
            <w:tcW w:type="dxa" w:w="24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Possible — might occur at some time</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r>
      <w:tr>
        <w:tc>
          <w:tcPr>
            <w:tcW w:type="dxa" w:w="24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Unlikely — not expected to occur</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r>
      <w:tr>
        <w:tc>
          <w:tcPr>
            <w:tcW w:type="dxa" w:w="2400"/>
            <w:tcBorders>
              <w:top w:val="single" w:color="CCCCCC" w:sz="1"/>
              <w:left w:val="single" w:color="CCCCCC" w:sz="1"/>
              <w:bottom w:val="single" w:color="CCCCCC" w:sz="1"/>
              <w:right w:val="single" w:color="CCCCCC" w:sz="1"/>
            </w:tcBorders>
            <w:shd w:fill="F5EFE0" w:val="clear"/>
            <w:tcMar>
              <w:top w:type="dxa" w:w="80"/>
              <w:left w:type="dxa" w:w="120"/>
              <w:bottom w:type="dxa" w:w="80"/>
              <w:right w:type="dxa" w:w="120"/>
            </w:tcMar>
          </w:tcPr>
          <w:p>
            <w:pPr>
              <w:jc w:val="left"/>
            </w:pPr>
            <w:r>
              <w:rPr>
                <w:b/>
                <w:bCs/>
                <w:color w:val="1A1A1A"/>
                <w:sz w:val="18"/>
                <w:szCs w:val="18"/>
              </w:rPr>
              <w:t xml:space="preserve">Rare — occurs in exceptional circumstances only</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2F7D5B"/>
                <w:sz w:val="18"/>
                <w:szCs w:val="18"/>
              </w:rPr>
              <w:t xml:space="preserve">Low</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r>
    </w:tbl>
    <w:p>
      <w:r>
        <w:t xml:space="preserve"> </w:t>
      </w:r>
    </w:p>
    <w:p>
      <w:pPr>
        <w:pStyle w:val="Heading2"/>
        <w:spacing w:after="140" w:before="280"/>
      </w:pPr>
      <w:r>
        <w:rPr>
          <w:b/>
          <w:bCs/>
        </w:rPr>
        <w:t xml:space="preserve">Risk register — FastBowlersU</w:t>
      </w:r>
    </w:p>
    <w:p>
      <w:pPr>
        <w:spacing w:after="120" w:line="320"/>
      </w:pPr>
      <w:r>
        <w:t xml:space="preserve">The register below covers the recurring risks identified at FBU. It is not exhaustive — each high-risk event also produces an event-specific register attached to its running sheet.</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2300"/>
        <w:gridCol w:w="900"/>
        <w:gridCol w:w="900"/>
        <w:gridCol w:w="900"/>
        <w:gridCol w:w="3900"/>
      </w:tblGrid>
      <w:tr>
        <w:trPr>
          <w:tblHeader/>
        </w:trPr>
        <w:tc>
          <w:tcPr>
            <w:tcW w:type="dxa" w:w="23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Risk</w:t>
            </w:r>
          </w:p>
        </w:tc>
        <w:tc>
          <w:tcPr>
            <w:tcW w:type="dxa" w:w="9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Likelihood</w:t>
            </w:r>
          </w:p>
        </w:tc>
        <w:tc>
          <w:tcPr>
            <w:tcW w:type="dxa" w:w="9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Consequence</w:t>
            </w:r>
          </w:p>
        </w:tc>
        <w:tc>
          <w:tcPr>
            <w:tcW w:type="dxa" w:w="9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Level</w:t>
            </w:r>
          </w:p>
        </w:tc>
        <w:tc>
          <w:tcPr>
            <w:tcW w:type="dxa" w:w="3900"/>
            <w:tcBorders>
              <w:top w:val="single" w:color="CCCCCC" w:sz="1"/>
              <w:left w:val="single" w:color="CCCCCC" w:sz="1"/>
              <w:bottom w:val="single" w:color="CCCCCC" w:sz="1"/>
              <w:right w:val="single" w:color="CCCCCC" w:sz="1"/>
            </w:tcBorders>
            <w:shd w:fill="0E2A20" w:val="clear"/>
            <w:tcMar>
              <w:top w:type="dxa" w:w="100"/>
              <w:left w:type="dxa" w:w="120"/>
              <w:bottom w:type="dxa" w:w="100"/>
              <w:right w:type="dxa" w:w="120"/>
            </w:tcMar>
          </w:tcPr>
          <w:p>
            <w:pPr>
              <w:jc w:val="center"/>
            </w:pPr>
            <w:r>
              <w:rPr>
                <w:b/>
                <w:bCs/>
                <w:color w:val="FFFFFF"/>
                <w:sz w:val="18"/>
                <w:szCs w:val="18"/>
              </w:rPr>
              <w:t xml:space="preserve">Treatment</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Parent does not arrive to pick up child after an FBU session</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Sign-in/out logs kept. Drop-off and pick-up procedure shared with parents at registration. Two emergency contacts captured for each athlete under 18. Child remains in sight of an FBU coach in a public area until collected; coach contacts parent + emergency contacts, then Child Safety if no contact within 60 minutes.</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Child indicates they don't want to go home with parent or carer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Unlikely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Ask child for the reason. If answer suggests harm at home, follow Section 4 reporting flow. If not, discuss with parent in a private but visible setting.</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Photography / video taken without consent</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Likely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Moderate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Photography and video are captured only where consent is logged on the registration form. Coaches check the registrations CSV before any capture session. No photos are taken on personal devices.</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Coach is alone with a child during a one-on-one assessment</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Two-coach rule for any one-on-one activity. Assessments take place in open view of other coaches or at least one other adult. Recording (video) provides an additional safeguard and accountability.</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Visitors (sponsors, journalists, parents of others) approach a child</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Likely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Minor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Visitors briefed on arrival. Visitor lanyards used at multi-day events. No unsupervised access. Coach intervenes if a visitor approaches a child alone.</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Coach unable to deliver scheduled session (illness, emergency)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Moderate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Parents notified by SMS or email within two hours of the cancellation. Make-up session or pro-rata refund offered.</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Injury during physical activity (impact, heat, dehydration)</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First-aider present or on-call at every event. Hydration and break protocols enforced. Medical information from intake form reviewed before session. Parent contacted immediately for any injury beyond a minor scrape; child accompanied to medical care if required.</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Online direct messaging between coach and child</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All communications go via portal, parent-cc'd email, or a WhatsApp group that includes the parent. No coach-to-child DMs. WhatsApp group setup logged in the FBU portal.</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Athlete travels to away event without parent</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Possible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Written parental consent for travel obtained before booking. Two coaches travel where practical. Hotel rooming separates coaches and athletes by floor or wing. Daily check-in with parents during away tours.</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Disclosure of personal data to unauthorised party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Unlikely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Major</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B8742A"/>
                <w:sz w:val="18"/>
                <w:szCs w:val="18"/>
              </w:rPr>
              <w:t xml:space="preserve">Medium</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Privacy Policy enforced. RLS in portal. Sub-processor register maintained. Refer to the FBU Privacy &amp; Data Protection Audit for full controls.</w:t>
            </w:r>
          </w:p>
        </w:tc>
      </w:tr>
      <w:t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bCs/>
                <w:color w:val="1A1A1A"/>
                <w:sz w:val="18"/>
                <w:szCs w:val="18"/>
              </w:rPr>
              <w:t xml:space="preserve">Cleaner or external contractor present when children attend NCC Albion</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Likely</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val="false"/>
                <w:bCs w:val="false"/>
                <w:color w:val="1A1A1A"/>
                <w:sz w:val="18"/>
                <w:szCs w:val="18"/>
              </w:rPr>
              <w:t xml:space="preserve">Moderate</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b/>
                <w:bCs/>
                <w:color w:val="962538"/>
                <w:sz w:val="18"/>
                <w:szCs w:val="18"/>
              </w:rPr>
              <w:t xml:space="preserve">High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b w:val="false"/>
                <w:bCs w:val="false"/>
                <w:color w:val="1A1A1A"/>
                <w:sz w:val="18"/>
                <w:szCs w:val="18"/>
              </w:rPr>
              <w:t xml:space="preserve">FBU coach confirms with NCC operations before each session that children will not be in spaces shared with external contractors. If unavoidable, contractor supervised at all times and given visitor briefing.</w:t>
            </w:r>
          </w:p>
        </w:tc>
      </w:tr>
    </w:tbl>
    <w:p>
      <w:r>
        <w:br w:type="page"/>
      </w:r>
    </w:p>
    <w:p>
      <w:pPr>
        <w:pStyle w:val="Heading1"/>
        <w:spacing w:after="200" w:before="360"/>
      </w:pPr>
      <w:r>
        <w:rPr>
          <w:b/>
          <w:bCs/>
        </w:rPr>
        <w:t xml:space="preserve">10. Sign-off</w:t>
      </w:r>
    </w:p>
    <w:p>
      <w:pPr>
        <w:spacing w:after="120" w:line="320"/>
      </w:pPr>
      <w:r>
        <w:t xml:space="preserve">This Child and Youth Risk Management Strategy is the policy of Joseph Dawes Pty Ltd trading as FastBowlersU. It is approved and signed below.</w:t>
      </w:r>
    </w:p>
    <w:p>
      <w:r>
        <w:t xml:space="preserve"> </w:t>
      </w:r>
    </w:p>
    <w:p>
      <w:r>
        <w:t xml:space="preserve"> </w:t>
      </w:r>
    </w:p>
    <w:p>
      <w:r>
        <w:rPr>
          <w:sz w:val="22"/>
          <w:szCs w:val="22"/>
        </w:rPr>
        <w:t xml:space="preserve">____________________________________</w:t>
      </w:r>
    </w:p>
    <w:p>
      <w:r>
        <w:rPr>
          <w:b/>
          <w:bCs/>
          <w:sz w:val="22"/>
          <w:szCs w:val="22"/>
        </w:rPr>
        <w:t xml:space="preserve">Joe Dawes — Head Coach and Owner, FastBowlersU</w:t>
      </w:r>
    </w:p>
    <w:p>
      <w:r>
        <w:rPr>
          <w:sz w:val="22"/>
          <w:szCs w:val="22"/>
        </w:rPr>
        <w:t xml:space="preserve">Date: 26 June 2026</w:t>
      </w:r>
    </w:p>
    <w:p>
      <w:r>
        <w:t xml:space="preserve"> </w:t>
      </w:r>
    </w:p>
    <w:p>
      <w:pPr>
        <w:spacing w:after="120" w:line="320"/>
      </w:pPr>
      <w:r>
        <w:t xml:space="preserve">Material developed with reference to the Queensland Family and Child Commission Child and Youth Risk Management Toolkit, the Blue Card Services website (www.qld.gov.au/bluecard) and the Queensland Office for the Safe Care of Children. Reviewed against the FBU Privacy Policy and Data Protection Audit (June 2026).</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6B5E47"/>
        <w:sz w:val="16"/>
        <w:szCs w:val="16"/>
      </w:rPr>
      <w:t xml:space="preserve">Joseph Dawes Pty Ltd · trading as FastBowlersU · PO Box 2040, Chermside QLD 4032</w:t>
    </w:r>
    <w:r>
      <w:rPr>
        <w:color w:val="6B5E47"/>
        <w:sz w:val="16"/>
        <w:szCs w:val="16"/>
      </w:rPr>
      <w:t xml:space="preserve">	Page </w:t>
    </w:r>
    <w:r>
      <w:rPr>
        <w:color w:val="6B5E4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5E47"/>
        <w:sz w:val="16"/>
        <w:szCs w:val="16"/>
      </w:rPr>
      <w:t xml:space="preserve">FBU · Child &amp; Youth Risk Management Strategy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Inter" w:cs="Inter" w:eastAsia="Inter" w:hAnsi="Inter"/>
      <w:b/>
      <w:bCs/>
      <w:color w:val="0E2A20"/>
      <w:sz w:val="36"/>
      <w:szCs w:val="36"/>
    </w:rPr>
  </w:style>
  <w:style w:type="paragraph" w:styleId="Heading2">
    <w:name w:val="Heading 2"/>
    <w:basedOn w:val="Normal"/>
    <w:next w:val="Normal"/>
    <w:qFormat/>
    <w:pPr>
      <w:spacing w:after="160" w:before="280"/>
      <w:outlineLvl w:val="1"/>
    </w:pPr>
    <w:rPr>
      <w:rFonts w:ascii="Inter" w:cs="Inter" w:eastAsia="Inter" w:hAnsi="Inter"/>
      <w:b/>
      <w:bCs/>
      <w:color w:val="962538"/>
      <w:sz w:val="28"/>
      <w:szCs w:val="28"/>
    </w:rPr>
  </w:style>
  <w:style w:type="paragraph" w:styleId="Heading3">
    <w:name w:val="Heading 3"/>
    <w:basedOn w:val="Normal"/>
    <w:next w:val="Normal"/>
    <w:qFormat/>
    <w:pPr>
      <w:spacing w:after="120" w:before="200"/>
      <w:outlineLvl w:val="2"/>
    </w:pPr>
    <w:rPr>
      <w:rFonts w:ascii="Inter" w:cs="Inter" w:eastAsia="Inter" w:hAnsi="Inter"/>
      <w:b/>
      <w:bCs/>
      <w:color w:val="0E2A2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FBU Child and Youth Risk Management Strategy</dc:title>
  <dc:creator>FastBowlersU</dc:creator>
  <cp:lastModifiedBy>Un-named</cp:lastModifiedBy>
  <cp:revision>1</cp:revision>
  <dcterms:created xsi:type="dcterms:W3CDTF">2026-06-25T22:16:31.713Z</dcterms:created>
  <dcterms:modified xsi:type="dcterms:W3CDTF">2026-06-25T22:16:31.713Z</dcterms:modified>
</cp:coreProperties>
</file>

<file path=docProps/custom.xml><?xml version="1.0" encoding="utf-8"?>
<Properties xmlns="http://schemas.openxmlformats.org/officeDocument/2006/custom-properties" xmlns:vt="http://schemas.openxmlformats.org/officeDocument/2006/docPropsVTypes"/>
</file>